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DEEB" w14:textId="55871E22" w:rsidR="00F21320" w:rsidRPr="00141476" w:rsidRDefault="00B665DC" w:rsidP="00244B25">
      <w:pPr>
        <w:pStyle w:val="kop10"/>
      </w:pPr>
      <w:r>
        <w:t>ZAŁĄCZNIK</w:t>
      </w:r>
    </w:p>
    <w:p w14:paraId="3140DBC7" w14:textId="77777777" w:rsidR="00E26AFD" w:rsidRPr="00141476" w:rsidRDefault="00E26AFD" w:rsidP="00E26AFD">
      <w:pPr>
        <w:pStyle w:val="Kop2"/>
        <w:numPr>
          <w:ilvl w:val="0"/>
          <w:numId w:val="0"/>
        </w:numPr>
      </w:pPr>
      <w:r>
        <w:t>Standardowa klauzula umowna</w:t>
      </w:r>
    </w:p>
    <w:p w14:paraId="203C252E" w14:textId="77777777" w:rsidR="00E26AFD" w:rsidRPr="00141476" w:rsidRDefault="00B665DC" w:rsidP="00B665DC">
      <w:pPr>
        <w:pStyle w:val="Lijstalinea"/>
        <w:spacing w:after="240"/>
        <w:ind w:left="0"/>
        <w:contextualSpacing w:val="0"/>
        <w:jc w:val="both"/>
      </w:pPr>
      <w:r>
        <w:t>Niniejszy Załącznik zawiera standardową klauzulę umowną regulującą zgodność w obszarze Sankcji i kontroli eksportu, Przeciwdziałania przekupstwu i korupcji, Przeciwdziałania praniu pieniędzy i w obszarze ochrony Konkurencji. Klauzulę tę należy dołączać do wszystkich umów zawieranych z Osobami trzecimi w celu zapewnienia przez Osobę trzecią pewnego poziomu zgodności oraz zabezpieczenia HES przed potencjalnym brakiem zgodności po stronie Osoby trzeciej.</w:t>
      </w:r>
    </w:p>
    <w:p w14:paraId="3E6B1EEB" w14:textId="08AB0776" w:rsidR="00E26AFD" w:rsidRPr="00141476" w:rsidRDefault="00B665DC" w:rsidP="00B665DC">
      <w:pPr>
        <w:pStyle w:val="Lijstalinea"/>
        <w:spacing w:after="240"/>
        <w:ind w:left="0"/>
        <w:contextualSpacing w:val="0"/>
        <w:jc w:val="both"/>
      </w:pPr>
      <w:r>
        <w:t>W razie jakichkolwiek pytań dotyczących samej klauzuli lub jej włączenia do umowy skontaktuj się z Chief Compliance Officer (główny specjalista ds. zgodności) (compliance@hesinternational.eu).</w:t>
      </w:r>
    </w:p>
    <w:p w14:paraId="2E8DE29B" w14:textId="77777777" w:rsidR="00E26AFD" w:rsidRPr="00141476" w:rsidRDefault="00B665DC" w:rsidP="00B665DC">
      <w:pPr>
        <w:pStyle w:val="Lijstalinea"/>
        <w:spacing w:after="240"/>
        <w:ind w:left="0"/>
        <w:contextualSpacing w:val="0"/>
        <w:jc w:val="both"/>
      </w:pPr>
      <w:r>
        <w:t>Wraz z tą klauzulą umowną w kontrakcie z Osobą trzecią należy zawrzeć warunki standardowe. Należy rozważyć, czy warunki standardowe mają dotyczyć umowy jako całości czy wyłącznie zawartych w tym Załączniku klauzul dotyczących zgodności.</w:t>
      </w:r>
    </w:p>
    <w:p w14:paraId="143B27DB" w14:textId="77777777" w:rsidR="00E26AFD" w:rsidRPr="00141476" w:rsidRDefault="00B665DC" w:rsidP="00F35E34">
      <w:pPr>
        <w:pStyle w:val="Lijstalinea"/>
        <w:spacing w:after="120"/>
        <w:ind w:left="0"/>
        <w:contextualSpacing w:val="0"/>
        <w:rPr>
          <w:rFonts w:asciiTheme="majorHAnsi" w:eastAsia="Times New Roman" w:hAnsiTheme="majorHAnsi" w:cs="Arial"/>
          <w:iCs/>
          <w:color w:val="006A9B" w:themeColor="text2"/>
          <w:sz w:val="26"/>
          <w:szCs w:val="26"/>
        </w:rPr>
      </w:pPr>
      <w:r>
        <w:rPr>
          <w:rFonts w:asciiTheme="majorHAnsi" w:hAnsiTheme="majorHAnsi"/>
          <w:color w:val="006A9B" w:themeColor="text2"/>
          <w:sz w:val="26"/>
        </w:rPr>
        <w:t>Możliwość wypowiedzenia</w:t>
      </w:r>
    </w:p>
    <w:p w14:paraId="3C74C457" w14:textId="77777777" w:rsidR="00E26AFD" w:rsidRPr="00141476" w:rsidRDefault="00B665DC" w:rsidP="00B665DC">
      <w:pPr>
        <w:pStyle w:val="Lijstalinea"/>
        <w:spacing w:after="120"/>
        <w:ind w:left="0"/>
        <w:contextualSpacing w:val="0"/>
        <w:jc w:val="both"/>
      </w:pPr>
      <w:r>
        <w:t>Poza włączeniem do umowy klauzuli umownej i warunków standardowych należy także upewnić się, że w zawieranym z Osobą trzecią kontrakcie przewidziano możliwość wypowiedzenia umowy przez zawierający umowę podmiot HES w przypadku istotnego naruszenia klauzuli umownej przez Osobę trzecią.</w:t>
      </w:r>
    </w:p>
    <w:p w14:paraId="669D17E4" w14:textId="40A7D739" w:rsidR="00B665DC" w:rsidRPr="00141476" w:rsidRDefault="00B665DC" w:rsidP="00B665DC">
      <w:pPr>
        <w:pStyle w:val="Lijstalinea"/>
        <w:spacing w:after="240"/>
        <w:ind w:left="0"/>
        <w:contextualSpacing w:val="0"/>
        <w:jc w:val="both"/>
      </w:pPr>
      <w:r>
        <w:t>W razie jakichkolwiek pytań dotyczących samej klauzuli lub jej włączenia do umowy skontaktuj się z Chief Compliance Officer (główny specjalista ds. zgodności) (compliance@hesinternational.eu).</w:t>
      </w:r>
    </w:p>
    <w:p w14:paraId="33AA8150" w14:textId="77777777" w:rsidR="00E26AFD" w:rsidRPr="00141476" w:rsidRDefault="00B665DC" w:rsidP="00F35E34">
      <w:pPr>
        <w:pStyle w:val="Lijstalinea"/>
        <w:ind w:left="0"/>
        <w:contextualSpacing w:val="0"/>
      </w:pPr>
      <w:r>
        <w:t>Warunki standardowe i klauzula umowna podane są na następnej stronie.</w:t>
      </w:r>
    </w:p>
    <w:p w14:paraId="2F2F9ABA" w14:textId="77777777" w:rsidR="00F35E34" w:rsidRPr="00F56602" w:rsidRDefault="00F35E34" w:rsidP="00F35E34">
      <w:pPr>
        <w:pStyle w:val="Lijstalinea"/>
        <w:ind w:left="0"/>
        <w:contextualSpacing w:val="0"/>
      </w:pPr>
    </w:p>
    <w:p w14:paraId="504FA20B" w14:textId="77777777" w:rsidR="00F35E34" w:rsidRPr="00F56602" w:rsidRDefault="00F35E34" w:rsidP="00F35E34">
      <w:pPr>
        <w:pStyle w:val="Lijstalinea"/>
        <w:ind w:left="0"/>
        <w:contextualSpacing w:val="0"/>
      </w:pPr>
    </w:p>
    <w:p w14:paraId="1A085CFC" w14:textId="77777777" w:rsidR="00F35E34" w:rsidRPr="00F56602" w:rsidRDefault="00F35E34" w:rsidP="00F35E34">
      <w:pPr>
        <w:pStyle w:val="Lijstalinea"/>
        <w:ind w:left="0"/>
        <w:contextualSpacing w:val="0"/>
        <w:rPr>
          <w:szCs w:val="21"/>
          <w:lang w:eastAsia="en-GB" w:bidi="ar-AE"/>
        </w:rPr>
        <w:sectPr w:rsidR="00F35E34" w:rsidRPr="00F56602" w:rsidSect="001E6BB5">
          <w:footerReference w:type="default" r:id="rId8"/>
          <w:headerReference w:type="first" r:id="rId9"/>
          <w:footerReference w:type="first" r:id="rId10"/>
          <w:pgSz w:w="11900" w:h="16840"/>
          <w:pgMar w:top="2070" w:right="1985" w:bottom="1418" w:left="1247" w:header="708" w:footer="708" w:gutter="0"/>
          <w:cols w:space="708"/>
          <w:titlePg/>
          <w:docGrid w:linePitch="360"/>
        </w:sectPr>
      </w:pPr>
    </w:p>
    <w:p w14:paraId="4DE3F2FB" w14:textId="77777777" w:rsidR="00935EAC" w:rsidRPr="00F56602" w:rsidRDefault="00935EAC" w:rsidP="00935EAC">
      <w:pPr>
        <w:pStyle w:val="Lijstalinea"/>
        <w:rPr>
          <w:szCs w:val="21"/>
          <w:lang w:eastAsia="en-GB" w:bidi="ar-AE"/>
        </w:rPr>
      </w:pPr>
    </w:p>
    <w:p w14:paraId="3CED734E" w14:textId="77777777" w:rsidR="00E26AFD" w:rsidRPr="00F56602" w:rsidRDefault="00E26AFD" w:rsidP="00935EAC">
      <w:pPr>
        <w:pStyle w:val="Lijstalinea"/>
        <w:rPr>
          <w:szCs w:val="21"/>
          <w:lang w:eastAsia="en-GB" w:bidi="ar-AE"/>
        </w:rPr>
      </w:pPr>
    </w:p>
    <w:p w14:paraId="7C6D554B" w14:textId="77777777" w:rsidR="00E26AFD" w:rsidRPr="00F56602" w:rsidRDefault="00E26AFD" w:rsidP="00935EAC">
      <w:pPr>
        <w:pStyle w:val="Lijstalinea"/>
        <w:rPr>
          <w:szCs w:val="21"/>
          <w:lang w:eastAsia="en-GB" w:bidi="ar-AE"/>
        </w:rPr>
      </w:pPr>
    </w:p>
    <w:tbl>
      <w:tblPr>
        <w:tblStyle w:val="HESInternationaltabel"/>
        <w:tblpPr w:leftFromText="141" w:rightFromText="141" w:vertAnchor="text" w:horzAnchor="margin" w:tblpY="1"/>
        <w:tblW w:w="14029" w:type="dxa"/>
        <w:tblLook w:val="04A0" w:firstRow="1" w:lastRow="0" w:firstColumn="1" w:lastColumn="0" w:noHBand="0" w:noVBand="1"/>
      </w:tblPr>
      <w:tblGrid>
        <w:gridCol w:w="2895"/>
        <w:gridCol w:w="11134"/>
      </w:tblGrid>
      <w:tr w:rsidR="00492D7F" w:rsidRPr="00141476" w14:paraId="5F4B4244" w14:textId="77777777" w:rsidTr="00492D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"/>
          </w:tcPr>
          <w:p w14:paraId="096E15E9" w14:textId="77777777" w:rsidR="00492D7F" w:rsidRPr="00141476" w:rsidRDefault="00B665DC" w:rsidP="00B8305D">
            <w:pPr>
              <w:pStyle w:val="tabeltitel"/>
              <w:framePr w:hSpace="0" w:wrap="auto" w:vAnchor="margin" w:hAnchor="text" w:yAlign="inline"/>
              <w:rPr>
                <w:b/>
              </w:rPr>
            </w:pPr>
            <w:r>
              <w:rPr>
                <w:rStyle w:val="tabeltitelChar"/>
                <w:caps w:val="0"/>
              </w:rPr>
              <w:t>Warunki standardowe, które należy ująć w umowie</w:t>
            </w:r>
          </w:p>
        </w:tc>
      </w:tr>
      <w:tr w:rsidR="00492D7F" w:rsidRPr="00141476" w14:paraId="0107D7BA" w14:textId="77777777" w:rsidTr="00492D7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653A1480" w14:textId="77777777" w:rsidR="00492D7F" w:rsidRPr="00141476" w:rsidRDefault="00492D7F" w:rsidP="00B665DC">
            <w:pPr>
              <w:pStyle w:val="BodyText1"/>
              <w:ind w:left="0"/>
              <w:rPr>
                <w:rFonts w:asciiTheme="minorHAnsi" w:eastAsia="Times New Roman" w:hAnsiTheme="minorHAnsi"/>
                <w:color w:val="48655B" w:themeColor="accent3"/>
              </w:rPr>
            </w:pPr>
            <w:r>
              <w:rPr>
                <w:rFonts w:asciiTheme="minorHAnsi" w:hAnsiTheme="minorHAnsi"/>
                <w:caps w:val="0"/>
                <w:color w:val="48655B" w:themeColor="accent3"/>
              </w:rPr>
              <w:t>Kontrola eksportu</w:t>
            </w:r>
          </w:p>
        </w:tc>
        <w:tc>
          <w:tcPr>
            <w:tcW w:w="11134" w:type="dxa"/>
          </w:tcPr>
          <w:p w14:paraId="00315EA0" w14:textId="77777777" w:rsidR="00492D7F" w:rsidRPr="00141476" w:rsidRDefault="00B665DC" w:rsidP="00492D7F">
            <w:pPr>
              <w:pStyle w:val="BodyText1"/>
              <w:keepLines/>
              <w:suppressAutoHyphens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>Przepisy ustawowe i wykonawcze UE, Holandii, jakiegokolwiek innego państwa członkowskiego UE, Wielkiej Brytanii, USA i innych mających zastosowanie porządków prawnych, regulujące handel, sprzedaż, dostawy, transfer, tranzyt, pośrednictwo w handlu, eksport i/lub ponowny wywóz pewnych towarów, technologii i oprogramowania.</w:t>
            </w:r>
          </w:p>
        </w:tc>
      </w:tr>
      <w:tr w:rsidR="00492D7F" w:rsidRPr="00141476" w14:paraId="649921CA" w14:textId="77777777" w:rsidTr="00492D7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24EBA582" w14:textId="77777777" w:rsidR="00492D7F" w:rsidRPr="00141476" w:rsidRDefault="00B665DC" w:rsidP="00492D7F">
            <w:pPr>
              <w:pStyle w:val="BodyText1"/>
              <w:ind w:left="0"/>
              <w:rPr>
                <w:rFonts w:asciiTheme="minorHAnsi" w:eastAsia="Times New Roman" w:hAnsiTheme="minorHAnsi"/>
                <w:color w:val="48655B" w:themeColor="accent3"/>
              </w:rPr>
            </w:pPr>
            <w:r>
              <w:rPr>
                <w:rFonts w:asciiTheme="minorHAnsi" w:hAnsiTheme="minorHAnsi"/>
                <w:caps w:val="0"/>
                <w:color w:val="48655B" w:themeColor="accent3"/>
              </w:rPr>
              <w:t>Urzędnik publiczny</w:t>
            </w:r>
          </w:p>
        </w:tc>
        <w:tc>
          <w:tcPr>
            <w:tcW w:w="11134" w:type="dxa"/>
          </w:tcPr>
          <w:p w14:paraId="7F393125" w14:textId="77777777" w:rsidR="00B665DC" w:rsidRPr="00141476" w:rsidRDefault="00B665DC" w:rsidP="00B665DC">
            <w:pPr>
              <w:pStyle w:val="BodyText1"/>
              <w:keepLines/>
              <w:suppressAutoHyphens/>
              <w:spacing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>Osoba fizyczna, bez względu na rangę lub tytuł, zatrudniona lub mianowana przez organ publiczny (polityczny lub nie) lub reprezentująca ten organ w inny sposób, lub która w inny sposób realizuje misję publiczną. Organ władzy publicznej:</w:t>
            </w:r>
          </w:p>
          <w:p w14:paraId="501F5173" w14:textId="77777777" w:rsidR="00B665DC" w:rsidRPr="00141476" w:rsidRDefault="00B665DC" w:rsidP="00B665DC">
            <w:pPr>
              <w:pStyle w:val="BodyText1"/>
              <w:keepLines/>
              <w:numPr>
                <w:ilvl w:val="0"/>
                <w:numId w:val="13"/>
              </w:numPr>
              <w:suppressAutoHyphens/>
              <w:adjustRightInd/>
              <w:spacing w:after="120"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>należy rozumieć jako krajowy, regionalny lub samorządowy urząd lub agencję, ambasadę, jednostkę obronną/wojskową, przedsiębiorstwo państwowe, w tym każdą organizację rządową (np. UE, ONZ, NATO, OECD) lub quasi-rządową (np. WTO, IMF); i</w:t>
            </w:r>
          </w:p>
          <w:p w14:paraId="5C84901A" w14:textId="77777777" w:rsidR="00492D7F" w:rsidRPr="00141476" w:rsidRDefault="00B665DC" w:rsidP="00B665DC">
            <w:pPr>
              <w:pStyle w:val="BodyText1"/>
              <w:keepLines/>
              <w:numPr>
                <w:ilvl w:val="0"/>
                <w:numId w:val="13"/>
              </w:numPr>
              <w:suppressAutoHyphens/>
              <w:adjustRightInd/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>obejmuje, w celu rozwiania wątpliwości, dowolną osobę sprawującą jakiegokolwiek rodzaju stanowisko sądowe, członków rodziny królewskiej, dowolnego przedstawiciela wyłonionego w wyborach, pracowników władz samorządowych i departamentów rządowych, pracowników przedsiębiorstw stanowiących w całości własność organu publicznego lub przez taki organ kontrolowanych, czy wręcz jakąkolwiek osobę sprawującą władzę państwową lub realizującą misję publiczną.</w:t>
            </w:r>
          </w:p>
        </w:tc>
      </w:tr>
      <w:tr w:rsidR="00492D7F" w:rsidRPr="00141476" w14:paraId="14E7F21D" w14:textId="77777777" w:rsidTr="00492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61B2353F" w14:textId="2856C5C7" w:rsidR="00492D7F" w:rsidRPr="00141476" w:rsidRDefault="00D752B0" w:rsidP="00492D7F">
            <w:pPr>
              <w:pStyle w:val="BodyText1"/>
              <w:ind w:left="0"/>
              <w:rPr>
                <w:rFonts w:asciiTheme="minorHAnsi" w:eastAsia="Times New Roman" w:hAnsiTheme="minorHAnsi"/>
                <w:color w:val="48655B" w:themeColor="accent3"/>
              </w:rPr>
            </w:pPr>
            <w:r>
              <w:rPr>
                <w:rFonts w:asciiTheme="minorHAnsi" w:hAnsiTheme="minorHAnsi"/>
                <w:caps w:val="0"/>
                <w:color w:val="48655B" w:themeColor="accent3"/>
              </w:rPr>
              <w:t>Kraj objęty embargiem</w:t>
            </w:r>
          </w:p>
        </w:tc>
        <w:tc>
          <w:tcPr>
            <w:tcW w:w="11134" w:type="dxa"/>
          </w:tcPr>
          <w:p w14:paraId="0CB19D30" w14:textId="77777777" w:rsidR="00492D7F" w:rsidRPr="00141476" w:rsidRDefault="00B665DC" w:rsidP="00492D7F">
            <w:pPr>
              <w:pStyle w:val="BodyText1"/>
              <w:keepLines/>
              <w:suppressAutoHyphens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>Wszelkie kraje lub terytoria, które same lub których rządy są objęte ogólnymi Sankcjami wprowadzonymi przez USA (obecnie Kuba, Iran, Korea Północna, region krymski Ukrainy, Syria), UE lub państwo członkowskie UE.</w:t>
            </w:r>
          </w:p>
        </w:tc>
      </w:tr>
      <w:tr w:rsidR="00492D7F" w:rsidRPr="00141476" w14:paraId="5C60ACD3" w14:textId="77777777" w:rsidTr="00492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213FF471" w14:textId="77777777" w:rsidR="00492D7F" w:rsidRPr="00141476" w:rsidRDefault="00B665DC" w:rsidP="00492D7F">
            <w:pPr>
              <w:pStyle w:val="BodyText1"/>
              <w:ind w:left="0"/>
              <w:rPr>
                <w:rFonts w:asciiTheme="minorHAnsi" w:eastAsia="Times New Roman" w:hAnsiTheme="minorHAnsi"/>
                <w:color w:val="48655B" w:themeColor="accent3"/>
              </w:rPr>
            </w:pPr>
            <w:r>
              <w:rPr>
                <w:rFonts w:asciiTheme="minorHAnsi" w:hAnsiTheme="minorHAnsi"/>
                <w:caps w:val="0"/>
                <w:color w:val="48655B" w:themeColor="accent3"/>
              </w:rPr>
              <w:t>Osoba objęta sankcjami</w:t>
            </w:r>
          </w:p>
        </w:tc>
        <w:tc>
          <w:tcPr>
            <w:tcW w:w="11134" w:type="dxa"/>
          </w:tcPr>
          <w:p w14:paraId="2D91457B" w14:textId="77777777" w:rsidR="00B665DC" w:rsidRPr="00141476" w:rsidRDefault="00B665DC" w:rsidP="00B665DC">
            <w:pPr>
              <w:pStyle w:val="BodyText1"/>
              <w:keepLines/>
              <w:suppressAutoHyphens/>
              <w:spacing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 xml:space="preserve">W każdym czasie, </w:t>
            </w:r>
          </w:p>
          <w:p w14:paraId="39233C87" w14:textId="77777777" w:rsidR="00B665DC" w:rsidRPr="00141476" w:rsidRDefault="00B665DC" w:rsidP="00B665DC">
            <w:pPr>
              <w:pStyle w:val="BodyText1"/>
              <w:numPr>
                <w:ilvl w:val="0"/>
                <w:numId w:val="15"/>
              </w:numPr>
              <w:spacing w:after="12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 xml:space="preserve">wszelkie osoby, podmioty lub jednostki pływające ujęte w jednej z następujących list sankcyjnych: </w:t>
            </w:r>
          </w:p>
          <w:p w14:paraId="17D5CD67" w14:textId="77777777" w:rsidR="00B665DC" w:rsidRPr="00141476" w:rsidRDefault="00B665DC" w:rsidP="00B665DC">
            <w:pPr>
              <w:pStyle w:val="BodyText1"/>
              <w:keepLines/>
              <w:numPr>
                <w:ilvl w:val="3"/>
                <w:numId w:val="15"/>
              </w:numPr>
              <w:suppressAutoHyphens/>
              <w:spacing w:after="120"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 xml:space="preserve">„Consolidated United Nations Security Council Sanctions List” Rady Bezpieczeństwa Organizacji Narodów Zjednoczonych; </w:t>
            </w:r>
          </w:p>
          <w:p w14:paraId="0035B167" w14:textId="77777777" w:rsidR="00B665DC" w:rsidRPr="00F56602" w:rsidRDefault="00B665DC" w:rsidP="00B665DC">
            <w:pPr>
              <w:pStyle w:val="BodyText1"/>
              <w:keepLines/>
              <w:numPr>
                <w:ilvl w:val="3"/>
                <w:numId w:val="15"/>
              </w:numPr>
              <w:suppressAutoHyphens/>
              <w:spacing w:after="120"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  <w:lang w:val="en-US"/>
              </w:rPr>
            </w:pPr>
            <w:r w:rsidRPr="00F56602">
              <w:rPr>
                <w:rFonts w:asciiTheme="minorHAnsi" w:hAnsiTheme="minorHAnsi"/>
                <w:i/>
                <w:sz w:val="21"/>
                <w:lang w:val="en-US"/>
              </w:rPr>
              <w:lastRenderedPageBreak/>
              <w:t xml:space="preserve">publikowane przez OFAC List of Specially Designated Nationals and Blocked Persons (SDN List), Foreign Sanctions Evaders List (FSE List), lub Sectoral Sanctions Identifications List (SSI List); </w:t>
            </w:r>
          </w:p>
          <w:p w14:paraId="26E36CC0" w14:textId="77777777" w:rsidR="00B665DC" w:rsidRPr="00141476" w:rsidRDefault="00B665DC" w:rsidP="00B665DC">
            <w:pPr>
              <w:pStyle w:val="BodyText1"/>
              <w:keepLines/>
              <w:numPr>
                <w:ilvl w:val="3"/>
                <w:numId w:val="15"/>
              </w:numPr>
              <w:suppressAutoHyphens/>
              <w:spacing w:after="120"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>publikowane przez BIS Entity List lub Unverified List i Denied Persons List; lub publikowane przez amerykański Departamentu Stanu USA listy osób i podmiotów na podstawie stosowanych przez Departament Stanu sankcji i/lub aktów o nierozprzestrzenianiu, a także na podstawie odnośnych dekretów prezydenckich;</w:t>
            </w:r>
          </w:p>
          <w:p w14:paraId="7DCFBB4B" w14:textId="77777777" w:rsidR="00B665DC" w:rsidRPr="00141476" w:rsidRDefault="00B665DC" w:rsidP="00B665DC">
            <w:pPr>
              <w:pStyle w:val="BodyText1"/>
              <w:keepLines/>
              <w:numPr>
                <w:ilvl w:val="3"/>
                <w:numId w:val="15"/>
              </w:numPr>
              <w:suppressAutoHyphens/>
              <w:spacing w:after="120"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 xml:space="preserve">„Consolidated list of persons, groups and entities subject to EU financial sanctions” Komisji Europejskiej lub osoby fizyczne lub podmioty ujęte w Załącznikach III, V lub VI do Rozporządzenia Rady (UE) nr 833/2014 (z późniejszymi zmianami); lub </w:t>
            </w:r>
          </w:p>
          <w:p w14:paraId="255127A8" w14:textId="77777777" w:rsidR="00B665DC" w:rsidRPr="00141476" w:rsidRDefault="00B665DC" w:rsidP="00B665DC">
            <w:pPr>
              <w:pStyle w:val="BodyText1"/>
              <w:keepLines/>
              <w:numPr>
                <w:ilvl w:val="3"/>
                <w:numId w:val="15"/>
              </w:numPr>
              <w:suppressAutoHyphens/>
              <w:spacing w:after="120" w:line="276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>wszelkie inne mające zastosowanie listy sankcji prowadzone przez kompetentne ds. sankcji organy, zawierające zakazy podobne do powyższych;</w:t>
            </w:r>
          </w:p>
          <w:p w14:paraId="356B11CD" w14:textId="77777777" w:rsidR="00B665DC" w:rsidRPr="00141476" w:rsidRDefault="00B665DC" w:rsidP="00B665DC">
            <w:pPr>
              <w:pStyle w:val="BodyText1"/>
              <w:keepLines/>
              <w:numPr>
                <w:ilvl w:val="0"/>
                <w:numId w:val="15"/>
              </w:numPr>
              <w:suppressAutoHyphens/>
              <w:spacing w:after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>Wszelkie osoby, podmioty lub jednostki pływające, które w co najmniej 50% znajdują się w bezpośrednim lub pośrednim posiadaniu lub które objęte są bezpośrednią lub pośrednią kontrolą dowolnej osoby (lub łącznie osób) wyszczególnionej (wyszczególnionych) w A, w zakresie, w którym takie posiadanie lub taka kontrola powodują, że osoby te podlegają tym samym ograniczeniom, którym podlegałyby, gdyby znajdowały się na odnośnej liście wskazanej w A, lub powodują, że operacje handlowe z tymi osobami są uznawane za operacje z korzyścią dla osoby wpisanej na odnośną listę z A.</w:t>
            </w:r>
          </w:p>
          <w:p w14:paraId="6796C108" w14:textId="77777777" w:rsidR="00B665DC" w:rsidRPr="00141476" w:rsidRDefault="00B665DC" w:rsidP="00B665DC">
            <w:pPr>
              <w:pStyle w:val="BodyText1"/>
              <w:keepLines/>
              <w:numPr>
                <w:ilvl w:val="0"/>
                <w:numId w:val="15"/>
              </w:numPr>
              <w:suppressAutoHyphens/>
              <w:spacing w:after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>Wszelkie osoby lub podmioty znajdujące się w Kraju objętym embargiem, zawiązane w takim kraju lub będące rezydentem takiego kraju, oraz jednostki pływające zarejestrowane w Kraju objętym embargiem lub posiadane bądź kontrolowane przez osobę lub podmiot znajdujący się w Kraju objętym embargiem, zawiązany w nim lub będący rezydentem tego Kraju;.</w:t>
            </w:r>
          </w:p>
          <w:p w14:paraId="1D784EC3" w14:textId="77777777" w:rsidR="00B665DC" w:rsidRPr="00141476" w:rsidRDefault="00B665DC" w:rsidP="00B665DC">
            <w:pPr>
              <w:pStyle w:val="BodyText1"/>
              <w:keepLines/>
              <w:numPr>
                <w:ilvl w:val="0"/>
                <w:numId w:val="15"/>
              </w:numPr>
              <w:suppressAutoHyphens/>
              <w:spacing w:after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>Wszelkie osoby, podmioty lub jednostki pływające, które są w inny sposób objęte Sankcjami.</w:t>
            </w:r>
          </w:p>
          <w:p w14:paraId="2B72562C" w14:textId="77777777" w:rsidR="00492D7F" w:rsidRPr="00141476" w:rsidRDefault="00B665DC" w:rsidP="00B665DC">
            <w:pPr>
              <w:pStyle w:val="BodyText1"/>
              <w:keepLines/>
              <w:numPr>
                <w:ilvl w:val="0"/>
                <w:numId w:val="15"/>
              </w:numPr>
              <w:suppressAutoHyphens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>Wszelkie osoby lub podmioty działające dla lub w imieniu jakichkolwiek osób wskazanych powyżej.</w:t>
            </w:r>
          </w:p>
        </w:tc>
      </w:tr>
      <w:tr w:rsidR="00492D7F" w:rsidRPr="00141476" w14:paraId="7D56C869" w14:textId="77777777" w:rsidTr="00492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03D30880" w14:textId="77777777" w:rsidR="00492D7F" w:rsidRPr="00141476" w:rsidRDefault="00B665DC" w:rsidP="00492D7F">
            <w:pPr>
              <w:pStyle w:val="BodyText1"/>
              <w:ind w:left="0"/>
              <w:rPr>
                <w:rFonts w:asciiTheme="minorHAnsi" w:eastAsia="Times New Roman" w:hAnsiTheme="minorHAnsi"/>
                <w:color w:val="48655B" w:themeColor="accent3"/>
              </w:rPr>
            </w:pPr>
            <w:r>
              <w:rPr>
                <w:rFonts w:asciiTheme="minorHAnsi" w:hAnsiTheme="minorHAnsi"/>
                <w:caps w:val="0"/>
                <w:color w:val="48655B" w:themeColor="accent3"/>
              </w:rPr>
              <w:lastRenderedPageBreak/>
              <w:t>Listy sankcyjne</w:t>
            </w:r>
          </w:p>
        </w:tc>
        <w:tc>
          <w:tcPr>
            <w:tcW w:w="11134" w:type="dxa"/>
          </w:tcPr>
          <w:p w14:paraId="51F9D4EA" w14:textId="77777777" w:rsidR="00B665DC" w:rsidRPr="00141476" w:rsidRDefault="00B665DC" w:rsidP="00B665DC">
            <w:pPr>
              <w:pStyle w:val="BodyText1"/>
              <w:keepLines/>
              <w:suppressAutoHyphens/>
              <w:spacing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>Którekolwiek z poniższych:</w:t>
            </w:r>
          </w:p>
          <w:p w14:paraId="7869FA9C" w14:textId="77777777" w:rsidR="00B665DC" w:rsidRPr="00141476" w:rsidRDefault="00B665DC" w:rsidP="00B665DC">
            <w:pPr>
              <w:pStyle w:val="BodyText1"/>
              <w:keepLines/>
              <w:numPr>
                <w:ilvl w:val="0"/>
                <w:numId w:val="20"/>
              </w:numPr>
              <w:suppressAutoHyphens/>
              <w:spacing w:after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 xml:space="preserve">związane z nałożonymi sankcjami listy stosowane lub prowadzone przez Departament Stanu USA lub Biuro Kontroli Aktywów Zagranicznych (dalej „OFAC“) przy Departamencie Skarbu USA, w tym „Specially Designated Nationals and Blocked Persons List” i „Sectoral Sanctions Identifications List” (SSI List), obie prowadzone przez OFAC; </w:t>
            </w:r>
          </w:p>
          <w:p w14:paraId="14C01834" w14:textId="77777777" w:rsidR="00B665DC" w:rsidRPr="00141476" w:rsidRDefault="00B665DC" w:rsidP="00B665DC">
            <w:pPr>
              <w:pStyle w:val="BodyText1"/>
              <w:keepLines/>
              <w:numPr>
                <w:ilvl w:val="0"/>
                <w:numId w:val="20"/>
              </w:numPr>
              <w:suppressAutoHyphens/>
              <w:spacing w:after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lastRenderedPageBreak/>
              <w:t xml:space="preserve">„Consolidated List of Financial Sanctions Targets in the UK” (w tym zarówno wersja listy obejmująca „Asset Freeze Targets”, jak i wersja obejmująca „Investment Ban Targets”) prowadzona przez brytyjskie ministerstwo skarbu (HM Treasury); </w:t>
            </w:r>
          </w:p>
          <w:p w14:paraId="286D3B2A" w14:textId="77777777" w:rsidR="00B665DC" w:rsidRPr="00141476" w:rsidRDefault="00B665DC" w:rsidP="00B665DC">
            <w:pPr>
              <w:pStyle w:val="BodyText1"/>
              <w:keepLines/>
              <w:numPr>
                <w:ilvl w:val="0"/>
                <w:numId w:val="20"/>
              </w:numPr>
              <w:suppressAutoHyphens/>
              <w:spacing w:after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 xml:space="preserve">„Consolidated list of persons, groups and entities subject to EU financial sanctions” prowadzona przez Komisję Europejską i/lub wszelkie listy osób lub podmiotów objętych ograniczeniami finansowymi lub zakazem inwestowania z tytułu przepisów UE nakładających Sankcje; </w:t>
            </w:r>
          </w:p>
          <w:p w14:paraId="01837D8C" w14:textId="77777777" w:rsidR="00B665DC" w:rsidRPr="00141476" w:rsidRDefault="00B665DC" w:rsidP="00B665DC">
            <w:pPr>
              <w:pStyle w:val="BodyText1"/>
              <w:keepLines/>
              <w:numPr>
                <w:ilvl w:val="0"/>
                <w:numId w:val="20"/>
              </w:numPr>
              <w:suppressAutoHyphens/>
              <w:spacing w:after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>„Consolidated List” osób i podmiotów objętych środkami wprowadzonymi przez Radę Bezpieczeństwa Organizacji Narodów Zjednoczonych (United Nations Security Council); i/lub</w:t>
            </w:r>
          </w:p>
          <w:p w14:paraId="2C741BAF" w14:textId="77777777" w:rsidR="00492D7F" w:rsidRPr="00141476" w:rsidRDefault="00B665DC" w:rsidP="00B665DC">
            <w:pPr>
              <w:pStyle w:val="BodyText1"/>
              <w:keepLines/>
              <w:numPr>
                <w:ilvl w:val="0"/>
                <w:numId w:val="20"/>
              </w:numPr>
              <w:suppressAutoHyphens/>
              <w:spacing w:after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>wszelkie inne listy związane z sankcjami na mocy jakichkolwiek Sankcji wprowadzonych we wszelkich innych Właściwych porządkach prawnych.</w:t>
            </w:r>
          </w:p>
        </w:tc>
      </w:tr>
      <w:tr w:rsidR="00492D7F" w:rsidRPr="00141476" w14:paraId="2B87152A" w14:textId="77777777" w:rsidTr="00492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05536690" w14:textId="77777777" w:rsidR="00492D7F" w:rsidRPr="00141476" w:rsidRDefault="00B665DC" w:rsidP="00492D7F">
            <w:pPr>
              <w:pStyle w:val="BodyText1"/>
              <w:ind w:left="0"/>
              <w:rPr>
                <w:rFonts w:asciiTheme="minorHAnsi" w:eastAsia="Times New Roman" w:hAnsiTheme="minorHAnsi"/>
                <w:color w:val="48655B" w:themeColor="accent3"/>
              </w:rPr>
            </w:pPr>
            <w:r>
              <w:rPr>
                <w:rFonts w:asciiTheme="minorHAnsi" w:hAnsiTheme="minorHAnsi"/>
                <w:caps w:val="0"/>
                <w:color w:val="48655B" w:themeColor="accent3"/>
              </w:rPr>
              <w:lastRenderedPageBreak/>
              <w:t>Sankcje</w:t>
            </w:r>
          </w:p>
        </w:tc>
        <w:tc>
          <w:tcPr>
            <w:tcW w:w="11134" w:type="dxa"/>
          </w:tcPr>
          <w:p w14:paraId="6B92484C" w14:textId="77777777" w:rsidR="00B665DC" w:rsidRPr="00141476" w:rsidRDefault="00B665DC" w:rsidP="00B665DC">
            <w:pPr>
              <w:pStyle w:val="BodyText1"/>
              <w:keepLines/>
              <w:suppressAutoHyphens/>
              <w:spacing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 xml:space="preserve">Przepisy o sankcjach, regulacje, embarga lub środki ograniczające wobec kraju, rządu, osoby, podmiotu lub przedsiębiorstwa (w tym przedsiębiorstwa będące częściowo w posiadaniu innego podmiotu lub częściowo podlegające kontroli innego podmiotu), uchwalone, stosowane lub wprowadzone przez: </w:t>
            </w:r>
          </w:p>
          <w:p w14:paraId="65EC8F55" w14:textId="77777777" w:rsidR="00B665DC" w:rsidRPr="00141476" w:rsidRDefault="00B665DC" w:rsidP="00B665DC">
            <w:pPr>
              <w:pStyle w:val="BodyText1"/>
              <w:keepLines/>
              <w:numPr>
                <w:ilvl w:val="0"/>
                <w:numId w:val="21"/>
              </w:numPr>
              <w:suppressAutoHyphens/>
              <w:spacing w:after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 xml:space="preserve">UE; </w:t>
            </w:r>
          </w:p>
          <w:p w14:paraId="3F43964E" w14:textId="77777777" w:rsidR="00B665DC" w:rsidRPr="00141476" w:rsidRDefault="00B665DC" w:rsidP="00B665DC">
            <w:pPr>
              <w:pStyle w:val="BodyText1"/>
              <w:keepLines/>
              <w:numPr>
                <w:ilvl w:val="0"/>
                <w:numId w:val="21"/>
              </w:numPr>
              <w:suppressAutoHyphens/>
              <w:spacing w:after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 xml:space="preserve">Holandię; </w:t>
            </w:r>
          </w:p>
          <w:p w14:paraId="1EEA13CB" w14:textId="77777777" w:rsidR="00B665DC" w:rsidRPr="00141476" w:rsidRDefault="00B665DC" w:rsidP="00B665DC">
            <w:pPr>
              <w:pStyle w:val="BodyText1"/>
              <w:keepLines/>
              <w:numPr>
                <w:ilvl w:val="0"/>
                <w:numId w:val="21"/>
              </w:numPr>
              <w:suppressAutoHyphens/>
              <w:spacing w:after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>jakiekolwiek inne państwo członkowskie UE;</w:t>
            </w:r>
          </w:p>
          <w:p w14:paraId="150603FA" w14:textId="77777777" w:rsidR="00B665DC" w:rsidRPr="00141476" w:rsidRDefault="00B665DC" w:rsidP="00B665DC">
            <w:pPr>
              <w:pStyle w:val="BodyText1"/>
              <w:keepLines/>
              <w:numPr>
                <w:ilvl w:val="0"/>
                <w:numId w:val="21"/>
              </w:numPr>
              <w:suppressAutoHyphens/>
              <w:spacing w:after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>Wielką Brytanię;</w:t>
            </w:r>
          </w:p>
          <w:p w14:paraId="22D34E43" w14:textId="77777777" w:rsidR="00B665DC" w:rsidRPr="00141476" w:rsidRDefault="00B665DC" w:rsidP="00B665DC">
            <w:pPr>
              <w:pStyle w:val="BodyText1"/>
              <w:keepLines/>
              <w:numPr>
                <w:ilvl w:val="0"/>
                <w:numId w:val="21"/>
              </w:numPr>
              <w:suppressAutoHyphens/>
              <w:spacing w:after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 xml:space="preserve">USA, w tym sankcje zastosowane przez OFAC lub Departament Stanu, na podstawie przepisów dotyczących kontroli aktywów zagranicznych („Foreign Assets Control Regulations”, Kodeks przepisów federalnych, rozdział 31, części 500–599) i innych przepisów ustawowych i wykonawczych; </w:t>
            </w:r>
          </w:p>
          <w:p w14:paraId="1F6E1BE9" w14:textId="77777777" w:rsidR="00B665DC" w:rsidRPr="00141476" w:rsidRDefault="00B665DC" w:rsidP="00B665DC">
            <w:pPr>
              <w:pStyle w:val="BodyText1"/>
              <w:keepLines/>
              <w:numPr>
                <w:ilvl w:val="0"/>
                <w:numId w:val="21"/>
              </w:numPr>
              <w:suppressAutoHyphens/>
              <w:spacing w:after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 xml:space="preserve">Radę Bezpieczeństwa Organizacji Narodów Zjednoczonych; lub </w:t>
            </w:r>
          </w:p>
          <w:p w14:paraId="5E317CA1" w14:textId="77777777" w:rsidR="00492D7F" w:rsidRPr="00141476" w:rsidRDefault="00B665DC" w:rsidP="00B665DC">
            <w:pPr>
              <w:pStyle w:val="BodyText1"/>
              <w:keepLines/>
              <w:suppressAutoHyphens/>
              <w:spacing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 xml:space="preserve">inne porządki prawne, w zakresie mającym zastosowanie, lub odpowiednio organy rządowe któregokolwiek z wyżej wymienionych, w tym, między innymi, Biuro Kontroli Aktywów Zagranicznych przy Departamencie Skarbu USA („OFAC”), Biuro Kontroli Handlu Bronią przy Departamencie Stanu USA (U.S. Department of State’s Directorate of Defense Trade Controls, </w:t>
            </w:r>
            <w:r>
              <w:rPr>
                <w:rFonts w:asciiTheme="minorHAnsi" w:hAnsiTheme="minorHAnsi"/>
                <w:i/>
                <w:sz w:val="21"/>
              </w:rPr>
              <w:lastRenderedPageBreak/>
              <w:t>„DDTC“), Biuro Przemysłu i Bezpieczeństwa przy Departamencie Handlu (U.S. Department of Commerce’s Bureau of Industry and Security, „BIS”) oraz Radę Unii Europejskiej.</w:t>
            </w:r>
          </w:p>
        </w:tc>
      </w:tr>
      <w:tr w:rsidR="00492D7F" w:rsidRPr="00141476" w14:paraId="61040376" w14:textId="77777777" w:rsidTr="00492D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5" w:type="dxa"/>
          </w:tcPr>
          <w:p w14:paraId="7843BC94" w14:textId="77777777" w:rsidR="00492D7F" w:rsidRPr="00141476" w:rsidRDefault="00B665DC" w:rsidP="00492D7F">
            <w:pPr>
              <w:pStyle w:val="BodyText1"/>
              <w:ind w:left="0"/>
              <w:rPr>
                <w:rFonts w:asciiTheme="minorHAnsi" w:eastAsia="Times New Roman" w:hAnsiTheme="minorHAnsi"/>
                <w:color w:val="48655B" w:themeColor="accent3"/>
              </w:rPr>
            </w:pPr>
            <w:r>
              <w:rPr>
                <w:rFonts w:asciiTheme="minorHAnsi" w:hAnsiTheme="minorHAnsi"/>
                <w:caps w:val="0"/>
                <w:color w:val="48655B" w:themeColor="accent3"/>
              </w:rPr>
              <w:lastRenderedPageBreak/>
              <w:t>Właściwy porządek prawny</w:t>
            </w:r>
          </w:p>
        </w:tc>
        <w:tc>
          <w:tcPr>
            <w:tcW w:w="11134" w:type="dxa"/>
          </w:tcPr>
          <w:p w14:paraId="59A66F2D" w14:textId="1994ACDE" w:rsidR="00492D7F" w:rsidRPr="00141476" w:rsidRDefault="00B665DC" w:rsidP="00492D7F">
            <w:pPr>
              <w:pStyle w:val="BodyText1"/>
              <w:keepLines/>
              <w:suppressAutoHyphens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sz w:val="21"/>
              </w:rPr>
              <w:t xml:space="preserve">Holandia, USA, Wielka Brytania, Unia Europejska i jej państwa członkowskie oraz wszelkie inne porządki prawne, w których którykolwiek </w:t>
            </w:r>
            <w:r>
              <w:rPr>
                <w:rFonts w:asciiTheme="minorHAnsi" w:hAnsiTheme="minorHAnsi"/>
                <w:i/>
                <w:sz w:val="21"/>
                <w:u w:val="single"/>
              </w:rPr>
              <w:t>zawierający umowę podmiot HES</w:t>
            </w:r>
            <w:r>
              <w:rPr>
                <w:rFonts w:asciiTheme="minorHAnsi" w:hAnsiTheme="minorHAnsi"/>
                <w:i/>
                <w:sz w:val="21"/>
              </w:rPr>
              <w:t xml:space="preserve"> lub </w:t>
            </w:r>
            <w:r>
              <w:rPr>
                <w:rFonts w:asciiTheme="minorHAnsi" w:hAnsiTheme="minorHAnsi"/>
                <w:i/>
                <w:sz w:val="21"/>
                <w:u w:val="single"/>
              </w:rPr>
              <w:t>Osoba trzecia</w:t>
            </w:r>
            <w:r>
              <w:rPr>
                <w:rFonts w:asciiTheme="minorHAnsi" w:hAnsiTheme="minorHAnsi"/>
                <w:i/>
                <w:sz w:val="21"/>
              </w:rPr>
              <w:t xml:space="preserve"> lub ich poszczególni właściciele lub przedsiębiorstwa z grupy są zarejestrowani, w których są rezydentami lub w których prowadzą działalność, lub które w inny sposób obowiązują w odniesieniu do transakcji, o których mowa w tej Umowie.</w:t>
            </w:r>
          </w:p>
        </w:tc>
      </w:tr>
    </w:tbl>
    <w:p w14:paraId="7205B834" w14:textId="77777777" w:rsidR="00E26AFD" w:rsidRPr="00F56602" w:rsidRDefault="00E26AFD" w:rsidP="00935EAC">
      <w:pPr>
        <w:pStyle w:val="Lijstalinea"/>
        <w:rPr>
          <w:szCs w:val="21"/>
          <w:lang w:eastAsia="en-GB" w:bidi="ar-AE"/>
        </w:rPr>
      </w:pPr>
    </w:p>
    <w:p w14:paraId="6078AA22" w14:textId="77777777" w:rsidR="00E26AFD" w:rsidRPr="00F56602" w:rsidRDefault="00E26AFD" w:rsidP="00935EAC">
      <w:pPr>
        <w:pStyle w:val="Lijstalinea"/>
        <w:rPr>
          <w:szCs w:val="21"/>
          <w:lang w:eastAsia="en-GB" w:bidi="ar-AE"/>
        </w:rPr>
      </w:pPr>
    </w:p>
    <w:p w14:paraId="1023D550" w14:textId="77777777" w:rsidR="00492D7F" w:rsidRPr="00F56602" w:rsidRDefault="00492D7F" w:rsidP="00935EAC">
      <w:pPr>
        <w:pStyle w:val="Lijstalinea"/>
        <w:rPr>
          <w:szCs w:val="21"/>
          <w:lang w:eastAsia="en-GB" w:bidi="ar-AE"/>
        </w:rPr>
      </w:pPr>
    </w:p>
    <w:p w14:paraId="49BB144F" w14:textId="77777777" w:rsidR="00E26AFD" w:rsidRPr="00F56602" w:rsidRDefault="00E26AFD" w:rsidP="00935EAC">
      <w:pPr>
        <w:pStyle w:val="Lijstalinea"/>
        <w:rPr>
          <w:szCs w:val="21"/>
          <w:lang w:eastAsia="en-GB" w:bidi="ar-AE"/>
        </w:rPr>
      </w:pPr>
    </w:p>
    <w:p w14:paraId="29070805" w14:textId="77777777" w:rsidR="00492D7F" w:rsidRPr="00141476" w:rsidRDefault="00492D7F">
      <w:pPr>
        <w:spacing w:line="240" w:lineRule="auto"/>
        <w:rPr>
          <w:szCs w:val="21"/>
        </w:rPr>
      </w:pPr>
      <w:r>
        <w:br w:type="page"/>
      </w:r>
    </w:p>
    <w:p w14:paraId="0DCB822F" w14:textId="77777777" w:rsidR="00492D7F" w:rsidRPr="00F56602" w:rsidRDefault="00492D7F" w:rsidP="00935EAC">
      <w:pPr>
        <w:pStyle w:val="Lijstalinea"/>
        <w:rPr>
          <w:szCs w:val="21"/>
          <w:lang w:eastAsia="en-GB" w:bidi="ar-AE"/>
        </w:rPr>
      </w:pPr>
    </w:p>
    <w:tbl>
      <w:tblPr>
        <w:tblStyle w:val="HESInternationaltabel"/>
        <w:tblpPr w:leftFromText="141" w:rightFromText="141" w:vertAnchor="text" w:horzAnchor="margin" w:tblpY="1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492D7F" w:rsidRPr="00141476" w14:paraId="719B4703" w14:textId="77777777" w:rsidTr="00354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</w:tcPr>
          <w:p w14:paraId="534DFACC" w14:textId="77777777" w:rsidR="00492D7F" w:rsidRPr="00141476" w:rsidRDefault="00B665DC" w:rsidP="00024095">
            <w:pPr>
              <w:pStyle w:val="tabeltitel"/>
              <w:framePr w:hSpace="0" w:wrap="auto" w:vAnchor="margin" w:hAnchor="text" w:yAlign="inline"/>
              <w:rPr>
                <w:b/>
              </w:rPr>
            </w:pPr>
            <w:r>
              <w:rPr>
                <w:rStyle w:val="tabeltitelChar"/>
                <w:caps w:val="0"/>
              </w:rPr>
              <w:t>Standardowa klauzula zgodności, którą należy ująć w umowie</w:t>
            </w:r>
          </w:p>
        </w:tc>
      </w:tr>
      <w:tr w:rsidR="00492D7F" w:rsidRPr="00141476" w14:paraId="00F810A7" w14:textId="77777777" w:rsidTr="00492D7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shd w:val="clear" w:color="auto" w:fill="auto"/>
          </w:tcPr>
          <w:p w14:paraId="6D00354C" w14:textId="77777777" w:rsidR="00B665DC" w:rsidRPr="00141476" w:rsidRDefault="00B665DC" w:rsidP="00B665DC">
            <w:pPr>
              <w:pStyle w:val="General1L1"/>
              <w:widowControl w:val="0"/>
              <w:numPr>
                <w:ilvl w:val="0"/>
                <w:numId w:val="19"/>
              </w:numPr>
              <w:spacing w:before="240" w:line="276" w:lineRule="auto"/>
              <w:rPr>
                <w:rFonts w:asciiTheme="minorHAnsi" w:hAnsiTheme="minorHAnsi"/>
                <w:b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aps w:val="0"/>
                <w:sz w:val="21"/>
              </w:rPr>
              <w:t>Sankcje</w:t>
            </w:r>
          </w:p>
          <w:p w14:paraId="3C09A483" w14:textId="77777777" w:rsidR="00B665DC" w:rsidRPr="00141476" w:rsidRDefault="00C1605C" w:rsidP="00B665DC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oświadcza i zapewnia, że jej akcjonariusze z prawem głosu powyżej 5% i członkowie jej zarządu nie są osobami objętymi sankcjami.</w:t>
            </w:r>
          </w:p>
          <w:p w14:paraId="58F911D3" w14:textId="77777777" w:rsidR="00B665DC" w:rsidRPr="00141476" w:rsidRDefault="00B665DC" w:rsidP="00C1605C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oświadcza i zapewnia, że zawierane przez nią transakcje związane z produktami, którymi na podstawie tej Umowy zajmuje się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>], nie będą związane z Osobami objętymi sankcjami i/lub Państwami objętymi sankcjami, i będą w pełni zgodne z Sankcjami obowiązującymi we Właściwych porządkach prawnych.</w:t>
            </w:r>
          </w:p>
          <w:p w14:paraId="662DBC7E" w14:textId="77777777" w:rsidR="00B665DC" w:rsidRPr="00141476" w:rsidRDefault="00B665DC" w:rsidP="00C1605C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Jeśli transakcje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Osoby trzeciej</w:t>
            </w:r>
            <w:r>
              <w:rPr>
                <w:rFonts w:asciiTheme="minorHAnsi" w:hAnsiTheme="minorHAnsi"/>
                <w:caps w:val="0"/>
                <w:sz w:val="21"/>
              </w:rPr>
              <w:t>] związane z produktami, którymi na podstawie tej Umowy zajmuje się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>], wymagają jakichkolwiek licencji lub autoryzacji w związku z Sankcjami,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niezwłocznie poinformuje o tym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>].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odpowiada za uzyskanie niezbędnych licencji i autoryzacji oraz zapewni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zawierającemu umowę podmiotowi HES</w:t>
            </w:r>
            <w:r>
              <w:rPr>
                <w:rFonts w:asciiTheme="minorHAnsi" w:hAnsiTheme="minorHAnsi"/>
                <w:caps w:val="0"/>
                <w:sz w:val="21"/>
              </w:rPr>
              <w:t>] ich kopie. Niezależnie od takich licencji i autoryzacji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>] będzie uprawniony według własnego uznania odmówić współpracy przy takich objętych licencjami lub autoryzacjami transakcjach.</w:t>
            </w:r>
          </w:p>
          <w:p w14:paraId="03A51CBF" w14:textId="7AE41A70" w:rsidR="00B665DC" w:rsidRPr="00141476" w:rsidRDefault="00B665DC" w:rsidP="00C1605C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zgadza się zawiadomić niezwłocznie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>], jeśli w dowolnym momencie w trakcie trwania tej Umowy dowie się o jakimkolwiek naruszeniu lub potencjalnym naruszeniu Sankcji, w tym, w szczególności, ppkt. 1.1 i 1.2, w związku z wykonywaniem niniejszej Umowy lub dokonywaniem transakcji związanych z produktami.</w:t>
            </w:r>
          </w:p>
          <w:p w14:paraId="704C7F3C" w14:textId="77777777" w:rsidR="00B665DC" w:rsidRPr="00141476" w:rsidRDefault="00B665DC" w:rsidP="00B665DC">
            <w:pPr>
              <w:pStyle w:val="General1L1"/>
              <w:numPr>
                <w:ilvl w:val="0"/>
                <w:numId w:val="19"/>
              </w:numPr>
              <w:rPr>
                <w:rFonts w:asciiTheme="minorHAnsi" w:hAnsiTheme="minorHAnsi"/>
                <w:b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aps w:val="0"/>
                <w:sz w:val="21"/>
              </w:rPr>
              <w:t>Kontrola eksportu</w:t>
            </w:r>
          </w:p>
          <w:p w14:paraId="41BA1550" w14:textId="77777777" w:rsidR="00B665DC" w:rsidRPr="00141476" w:rsidRDefault="00B665DC" w:rsidP="00C1605C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oświadcza i zapewnia, że produkty, którymi na podstawie tej Umowy zajmuje się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>] nie są objęte Kontrolą eksportu.</w:t>
            </w:r>
          </w:p>
          <w:p w14:paraId="1AD062ED" w14:textId="77777777" w:rsidR="00B665DC" w:rsidRPr="00141476" w:rsidRDefault="00B665DC" w:rsidP="00C1605C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Jeśli w drodze wyjątku od klauzuli 2.1 produkty są objęte Kontrolą eksportu, to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]:</w:t>
            </w:r>
          </w:p>
          <w:p w14:paraId="476FCECD" w14:textId="77777777" w:rsidR="00B665DC" w:rsidRPr="00141476" w:rsidRDefault="00B665DC" w:rsidP="00C1605C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natychmiast zawiadomi o tym na piśmie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>]; oraz</w:t>
            </w:r>
          </w:p>
          <w:p w14:paraId="275D6ADC" w14:textId="77777777" w:rsidR="00B665DC" w:rsidRPr="00141476" w:rsidRDefault="00B665DC" w:rsidP="00C1605C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lastRenderedPageBreak/>
              <w:t>zapewni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zawierającemu umowę podmiotowi HES</w:t>
            </w:r>
            <w:r>
              <w:rPr>
                <w:rFonts w:asciiTheme="minorHAnsi" w:hAnsiTheme="minorHAnsi"/>
                <w:caps w:val="0"/>
                <w:sz w:val="21"/>
              </w:rPr>
              <w:t>] wszystkie istotne informacje dotyczące statusu prawnego produktów na podstawie odpowiedniej Kontroli eksportu, takie jak, w szczególności, właściwy numer zgodności w związku z kontrolą eksportu; oraz</w:t>
            </w:r>
          </w:p>
          <w:p w14:paraId="45D95256" w14:textId="77777777" w:rsidR="00B665DC" w:rsidRPr="00141476" w:rsidRDefault="00B665DC" w:rsidP="00C1605C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będzie odpowiadać za uzyskanie takich licencji i autoryzacji, jakie są wymagane dla transakcji związanych z produktami, którymi na podstawie tej Umowy zajmuje się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>] oraz w odpowiednim terminie i bez generowania kosztów po stronie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zawierającemu umowę podmiotowi HES</w:t>
            </w:r>
            <w:r>
              <w:rPr>
                <w:rFonts w:asciiTheme="minorHAnsi" w:hAnsiTheme="minorHAnsi"/>
                <w:caps w:val="0"/>
                <w:sz w:val="21"/>
              </w:rPr>
              <w:t>] zapewni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zawierającemu umowę podmiotowi HES</w:t>
            </w:r>
            <w:r>
              <w:rPr>
                <w:rFonts w:asciiTheme="minorHAnsi" w:hAnsiTheme="minorHAnsi"/>
                <w:caps w:val="0"/>
                <w:sz w:val="21"/>
              </w:rPr>
              <w:t>] ich kopie, w tym właściwy numer licencji eksportowej i licencji, a także za uzyskanie wszelkich odpowiednich zwolnień związanych z licencjami i ograniczeniami dotyczącymi obsługi lub dystrybucji; oraz</w:t>
            </w:r>
          </w:p>
          <w:p w14:paraId="66AD2B5B" w14:textId="77777777" w:rsidR="00F56602" w:rsidRPr="00F56602" w:rsidRDefault="00B665DC" w:rsidP="00C1605C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Niezależnie od pkt. 2.2 tej klauzuli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>] jest uprawniony według własnego uznania odmówić współpracy przy wszelkich transakcjach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Osoby trzeciej</w:t>
            </w:r>
            <w:r>
              <w:rPr>
                <w:rFonts w:asciiTheme="minorHAnsi" w:hAnsiTheme="minorHAnsi"/>
                <w:caps w:val="0"/>
                <w:sz w:val="21"/>
              </w:rPr>
              <w:t xml:space="preserve">], związanych z produktami objętymi Kontrolą eksportu. </w:t>
            </w:r>
          </w:p>
          <w:p w14:paraId="3E916C0F" w14:textId="46F55E0F" w:rsidR="00B665DC" w:rsidRPr="00F56602" w:rsidRDefault="00B665DC" w:rsidP="00F56602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zgadza się zawiadomić niezwłocznie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>], jeśli w dowolnym momencie w trakcie trwania umowy dowie się o jakimkolwiek rzeczywistym lub potencjalnym, przeszłym lub obecnym braku zgodności w ramach obowiązków wynikających z pkt. 2.2 tej klauzuli.</w:t>
            </w:r>
          </w:p>
          <w:p w14:paraId="6BEB428E" w14:textId="77777777" w:rsidR="00B665DC" w:rsidRPr="00141476" w:rsidRDefault="00B665DC" w:rsidP="00B665DC">
            <w:pPr>
              <w:pStyle w:val="General1L1"/>
              <w:numPr>
                <w:ilvl w:val="0"/>
                <w:numId w:val="19"/>
              </w:numPr>
              <w:rPr>
                <w:rFonts w:asciiTheme="minorHAnsi" w:hAnsiTheme="minorHAnsi"/>
                <w:b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aps w:val="0"/>
                <w:sz w:val="21"/>
              </w:rPr>
              <w:t>Pozostałe postanowienia</w:t>
            </w:r>
          </w:p>
          <w:p w14:paraId="3B6529E3" w14:textId="77777777" w:rsidR="00B665DC" w:rsidRPr="00141476" w:rsidRDefault="00B665DC" w:rsidP="00C1605C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oświadcza i zapewnia, że przy wykonywaniu niniejszej Umowy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i/lub [Usług] na mocy tej Umowy</w:t>
            </w:r>
            <w:r>
              <w:rPr>
                <w:rFonts w:asciiTheme="minorHAnsi" w:hAnsiTheme="minorHAnsi"/>
                <w:caps w:val="0"/>
                <w:sz w:val="21"/>
              </w:rPr>
              <w:t>],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i wszystkie jej podmioty zależne, członkowie zarządu, członkowie kadry kierowniczej, pracownicy lub podwykonawcy będą przestrzegać wszystkich mający zastosowanie przepisów, zasad, regulacji lub podobnych aktów, między innymi odnoszących się do przeciwdziałania przekupstwu i korupcji, praniu pieniędzy oraz dotyczących konkurencji.</w:t>
            </w:r>
          </w:p>
          <w:p w14:paraId="3304BD50" w14:textId="77777777" w:rsidR="00B665DC" w:rsidRPr="00141476" w:rsidRDefault="00B665DC" w:rsidP="00C1605C">
            <w:pPr>
              <w:pStyle w:val="General1L2"/>
              <w:numPr>
                <w:ilvl w:val="0"/>
                <w:numId w:val="0"/>
              </w:numPr>
              <w:ind w:left="720"/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Dla jasności:</w:t>
            </w:r>
          </w:p>
          <w:p w14:paraId="57DF635A" w14:textId="77777777" w:rsidR="00B665DC" w:rsidRPr="00141476" w:rsidRDefault="00C1605C" w:rsidP="00C1605C">
            <w:pPr>
              <w:pStyle w:val="General1L3"/>
              <w:numPr>
                <w:ilvl w:val="2"/>
                <w:numId w:val="19"/>
              </w:num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], członkowie jej zarządu i pracownicy, a także wszelkie osoby działające w imieniu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Osoby trzeciej</w:t>
            </w:r>
            <w:r>
              <w:rPr>
                <w:rFonts w:asciiTheme="minorHAnsi" w:hAnsiTheme="minorHAnsi"/>
                <w:caps w:val="0"/>
                <w:sz w:val="21"/>
              </w:rPr>
              <w:t>] w trakcie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okresu niniejszej umowy lub, jeśli jest różny, okresu od dnia podpisania tej umowy do momentu jej wypowiedzenia</w:t>
            </w:r>
            <w:r>
              <w:rPr>
                <w:rFonts w:asciiTheme="minorHAnsi" w:hAnsiTheme="minorHAnsi"/>
                <w:caps w:val="0"/>
                <w:sz w:val="21"/>
              </w:rPr>
              <w:t>] nie zapłacili i nie zapłacą jakiejkolwiek łapówki lub nie wykonali jakiejkolwiek płatności lub nie dali jakiejkolwiek korzyści w celu niewłaściwego oddziaływania na jakąkolwiek osobę;</w:t>
            </w:r>
          </w:p>
          <w:p w14:paraId="2FF363DD" w14:textId="77777777" w:rsidR="00B665DC" w:rsidRPr="00141476" w:rsidRDefault="00B665DC" w:rsidP="00C1605C">
            <w:pPr>
              <w:pStyle w:val="General1L3"/>
              <w:numPr>
                <w:ilvl w:val="2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 xml:space="preserve">], członkowie jej zarządu i pracownicy nie zabiegali o jakiekolwiek płatności lub korzyści w związku z niewłaściwym działaniem ani ich nie otrzymali, a także nie będą o nie zabiegać lub ich przyjmować; </w:t>
            </w:r>
          </w:p>
          <w:p w14:paraId="274AEBE7" w14:textId="77777777" w:rsidR="00B665DC" w:rsidRPr="00141476" w:rsidRDefault="00B665DC" w:rsidP="00C1605C">
            <w:pPr>
              <w:pStyle w:val="General1L3"/>
              <w:numPr>
                <w:ilvl w:val="2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[Osoba trzecia</w:t>
            </w:r>
            <w:r>
              <w:rPr>
                <w:rFonts w:asciiTheme="minorHAnsi" w:hAnsiTheme="minorHAnsi"/>
                <w:caps w:val="0"/>
                <w:sz w:val="21"/>
              </w:rPr>
              <w:t>], członkowie jej zarządu i pracownicy, a także wszelkie osoby działające w imieniu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Osoby trzeciej</w:t>
            </w:r>
            <w:r>
              <w:rPr>
                <w:rFonts w:asciiTheme="minorHAnsi" w:hAnsiTheme="minorHAnsi"/>
                <w:caps w:val="0"/>
                <w:sz w:val="21"/>
              </w:rPr>
              <w:t xml:space="preserve">] nie dokonają jakichkolwiek płatności lub nie będą proponować jakichkolwiek korzyści Urzędnikom publicznym, oraz żaden Urzędnik publiczny nie otrzymał ani nie otrzyma, </w:t>
            </w:r>
            <w:r>
              <w:rPr>
                <w:rFonts w:asciiTheme="minorHAnsi" w:hAnsiTheme="minorHAnsi"/>
                <w:caps w:val="0"/>
                <w:sz w:val="21"/>
              </w:rPr>
              <w:lastRenderedPageBreak/>
              <w:t>czy to bezpośrednio czy pośrednio, jakichkolwiek pożytków lub korzyści w wyniku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tej Umowy</w:t>
            </w:r>
            <w:r>
              <w:rPr>
                <w:rFonts w:asciiTheme="minorHAnsi" w:hAnsiTheme="minorHAnsi"/>
                <w:caps w:val="0"/>
                <w:sz w:val="21"/>
              </w:rPr>
              <w:t>], z wyjątkiem płatności lub korzyści, autoryzowanych lub dozwolonych w świetle mającego zastosowanie prawa pisanego;</w:t>
            </w:r>
          </w:p>
          <w:p w14:paraId="0048D5DD" w14:textId="77777777" w:rsidR="00B665DC" w:rsidRPr="00141476" w:rsidRDefault="00B665DC" w:rsidP="00C1605C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zgadza się zawiadomić niezwłocznie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>], jeśli w dowolnym momencie w trakcie trwania tej Umowy dowie się o jakimkolwiek naruszeniu lub potencjalnym naruszeniu zgodności, w tym, w szczególności, pkt. 3, w związku z wykonywaniem niniejszej Umowy lub dokonywaniem transakcji związanych z produktami.</w:t>
            </w:r>
          </w:p>
          <w:p w14:paraId="054123B4" w14:textId="77777777" w:rsidR="00B665DC" w:rsidRPr="00141476" w:rsidRDefault="00B665DC" w:rsidP="00C1605C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nie będzie delegować jakichkolwiek praw lub obowiązków wynikających z tej Umowy lub w inny sposób angażować jakichkolwiek doradców zewnętrznych lub agentów w związku z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Usługami</w:t>
            </w:r>
            <w:r>
              <w:rPr>
                <w:rFonts w:asciiTheme="minorHAnsi" w:hAnsiTheme="minorHAnsi"/>
                <w:caps w:val="0"/>
                <w:sz w:val="21"/>
              </w:rPr>
              <w:t>], bez uprzedniej pisemnej zgody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zawierającego umowę podmiotu HES</w:t>
            </w:r>
            <w:r>
              <w:rPr>
                <w:rFonts w:asciiTheme="minorHAnsi" w:hAnsiTheme="minorHAnsi"/>
                <w:caps w:val="0"/>
                <w:sz w:val="21"/>
              </w:rPr>
              <w:t>], oraz - w przypadku uzyskania zgody HES -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zapewni, żeby wszelkie tego typu angaże zostały opisane w umowach pisemnych, zawierających wszelkie istotne warunki niniejszej klauzuli dotyczące postępowania, zgodności, poufności, oświadczeń i zapewnień, oraz żeby świadczenie z tytułu tych klauzul było spełniane na rzecz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zawierającego umowę podmiotu HES</w:t>
            </w:r>
            <w:r>
              <w:rPr>
                <w:rFonts w:asciiTheme="minorHAnsi" w:hAnsiTheme="minorHAnsi"/>
                <w:caps w:val="0"/>
                <w:sz w:val="21"/>
              </w:rPr>
              <w:t>] i żeby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>] miał uprawnienia do egzekwowania tych klauzul.</w:t>
            </w:r>
          </w:p>
          <w:p w14:paraId="2F036E82" w14:textId="77777777" w:rsidR="00B665DC" w:rsidRPr="00141476" w:rsidRDefault="00B665DC" w:rsidP="00C1605C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wprowadziła procesy i stosuje polityki i procedury w celu przeciwdziałania brakowi zgodności z regulacjami, o których mowa w pkt. 1-3 niniejszej klauzuli.</w:t>
            </w:r>
          </w:p>
          <w:p w14:paraId="31B34954" w14:textId="77777777" w:rsidR="00B665DC" w:rsidRPr="00141476" w:rsidRDefault="00B665DC" w:rsidP="00C1605C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będzie prowadzić odpowiednie zapisy w celu dokumentowania i weryfikowania swojej zgodności z powyższymi punktami. Jeśli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>] będzie mieć uzasadnione przypuszczenia lub podejrzenia, że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narusza złożone przez siebie oświadczenia i zapewnienia zawarte w tej Umowie, a w każdym przypadku niniejszej klauzuli, to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zezwoli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zawierającemu umowę podmiotowi HES</w:t>
            </w:r>
            <w:r>
              <w:rPr>
                <w:rFonts w:asciiTheme="minorHAnsi" w:hAnsiTheme="minorHAnsi"/>
                <w:caps w:val="0"/>
                <w:sz w:val="21"/>
              </w:rPr>
              <w:t>] na przeprowadzenie audytu, posiadanie dostępu do takich ksiąg i zapisów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Osoby trzeciej</w:t>
            </w:r>
            <w:r>
              <w:rPr>
                <w:rFonts w:asciiTheme="minorHAnsi" w:hAnsiTheme="minorHAnsi"/>
                <w:caps w:val="0"/>
                <w:sz w:val="21"/>
              </w:rPr>
              <w:t>], które mogą być racjonalnie niezbędne do zweryfikowania zgodności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Osoby trzeciej</w:t>
            </w:r>
            <w:r>
              <w:rPr>
                <w:rFonts w:asciiTheme="minorHAnsi" w:hAnsiTheme="minorHAnsi"/>
                <w:caps w:val="0"/>
                <w:sz w:val="21"/>
              </w:rPr>
              <w:t>] ze złożonymi oświadczeniami i zapewnieniami zawartymi w tej Umowie, a w szczególności tej klauzuli, oraz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zezwoli na wzięcie kopii tych ksiąg i zapisów, a także zapewni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zawierającemu umowę podmiotowi HES</w:t>
            </w:r>
            <w:r>
              <w:rPr>
                <w:rFonts w:asciiTheme="minorHAnsi" w:hAnsiTheme="minorHAnsi"/>
                <w:caps w:val="0"/>
                <w:sz w:val="21"/>
              </w:rPr>
              <w:t xml:space="preserve">] w odniesieniu do takiego audytu w racjonalnym zakresie pełną współpracę, dostęp i pomoc. </w:t>
            </w:r>
          </w:p>
          <w:p w14:paraId="4610F5D7" w14:textId="77777777" w:rsidR="00B665DC" w:rsidRPr="00141476" w:rsidRDefault="00B665DC" w:rsidP="00C1605C">
            <w:pPr>
              <w:pStyle w:val="General1L2"/>
              <w:numPr>
                <w:ilvl w:val="1"/>
                <w:numId w:val="19"/>
              </w:numPr>
              <w:rPr>
                <w:rFonts w:asciiTheme="minorHAnsi" w:hAnsiTheme="minorHAnsi"/>
                <w:caps w:val="0"/>
                <w:sz w:val="21"/>
                <w:szCs w:val="21"/>
              </w:rPr>
            </w:pPr>
            <w:r>
              <w:rPr>
                <w:rFonts w:asciiTheme="minorHAnsi" w:hAnsiTheme="minorHAnsi"/>
                <w:caps w:val="0"/>
                <w:sz w:val="21"/>
              </w:rPr>
              <w:t>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zgadza się zwolnić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>] i jego podmioty zależne od odpowiedzialności za wszystkie koszty, kary, grzywny, roszczenia, odszkodowania oraz honoraria i koszty prawników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zawierającego umowę podmiotu HES</w:t>
            </w:r>
            <w:r>
              <w:rPr>
                <w:rFonts w:asciiTheme="minorHAnsi" w:hAnsiTheme="minorHAnsi"/>
                <w:caps w:val="0"/>
                <w:sz w:val="21"/>
              </w:rPr>
              <w:t>], które wynikają z jakiegokolwiek braku zgodności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Osoby trzeciej</w:t>
            </w:r>
            <w:r>
              <w:rPr>
                <w:rFonts w:asciiTheme="minorHAnsi" w:hAnsiTheme="minorHAnsi"/>
                <w:caps w:val="0"/>
                <w:sz w:val="21"/>
              </w:rPr>
              <w:t>] z pkt. 1-6 wraz z podpunktami, lub które są przez ten brak zgodności spowodowane.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Osoba trzecia</w:t>
            </w:r>
            <w:r>
              <w:rPr>
                <w:rFonts w:asciiTheme="minorHAnsi" w:hAnsiTheme="minorHAnsi"/>
                <w:caps w:val="0"/>
                <w:sz w:val="21"/>
              </w:rPr>
              <w:t>] zrzeka się także we wszelkich takich przypadkach wszelkich praw do roszczenia zwrotnego względem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zawierającego umowę podmiotu HES</w:t>
            </w:r>
            <w:r>
              <w:rPr>
                <w:rFonts w:asciiTheme="minorHAnsi" w:hAnsiTheme="minorHAnsi"/>
                <w:caps w:val="0"/>
                <w:sz w:val="21"/>
              </w:rPr>
              <w:t>] i jego podmiotów zależnych.</w:t>
            </w:r>
          </w:p>
          <w:p w14:paraId="13B424E5" w14:textId="77777777" w:rsidR="00492D7F" w:rsidRPr="00141476" w:rsidRDefault="00B665DC" w:rsidP="00C1605C">
            <w:pPr>
              <w:pStyle w:val="General1L2"/>
              <w:numPr>
                <w:ilvl w:val="1"/>
                <w:numId w:val="19"/>
              </w:numPr>
            </w:pPr>
            <w:r>
              <w:rPr>
                <w:rFonts w:asciiTheme="minorHAnsi" w:hAnsiTheme="minorHAnsi"/>
                <w:caps w:val="0"/>
                <w:sz w:val="21"/>
              </w:rPr>
              <w:t>Wszelkie naruszenia obowiązków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Osoby trzeciej</w:t>
            </w:r>
            <w:r>
              <w:rPr>
                <w:rFonts w:asciiTheme="minorHAnsi" w:hAnsiTheme="minorHAnsi"/>
                <w:caps w:val="0"/>
                <w:sz w:val="21"/>
              </w:rPr>
              <w:t>] z pkt. 1-6 oraz ich podpunktów stanowią naruszenia warunków umowy, których nie można naprawić, i uprawniają one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 xml:space="preserve">] do wypowiedzenia ze skutkiem natychmiastowym tej Umowy i wszelkich innych umów, które </w:t>
            </w:r>
            <w:r>
              <w:rPr>
                <w:rFonts w:asciiTheme="minorHAnsi" w:hAnsiTheme="minorHAnsi"/>
                <w:caps w:val="0"/>
                <w:sz w:val="21"/>
              </w:rPr>
              <w:lastRenderedPageBreak/>
              <w:t>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>] mógł zawrzeć z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Osobą trzecią</w:t>
            </w:r>
            <w:r>
              <w:rPr>
                <w:rFonts w:asciiTheme="minorHAnsi" w:hAnsiTheme="minorHAnsi"/>
                <w:caps w:val="0"/>
                <w:sz w:val="21"/>
              </w:rPr>
              <w:t>]. Jakiekolwiek istotne naruszenia oświadczeń i zapewnień z pkt. 3 uprawnią [</w:t>
            </w:r>
            <w:r>
              <w:rPr>
                <w:rFonts w:asciiTheme="minorHAnsi" w:hAnsiTheme="minorHAnsi"/>
                <w:caps w:val="0"/>
                <w:sz w:val="21"/>
                <w:highlight w:val="lightGray"/>
              </w:rPr>
              <w:t>zawierający umowę podmiot HES</w:t>
            </w:r>
            <w:r>
              <w:rPr>
                <w:rFonts w:asciiTheme="minorHAnsi" w:hAnsiTheme="minorHAnsi"/>
                <w:caps w:val="0"/>
                <w:sz w:val="21"/>
              </w:rPr>
              <w:t>] do wypowiedzenia tej Umowy ze skutkiem natychmiastowym.</w:t>
            </w:r>
          </w:p>
        </w:tc>
      </w:tr>
    </w:tbl>
    <w:p w14:paraId="47A397A1" w14:textId="77777777" w:rsidR="00F21320" w:rsidRPr="00F56602" w:rsidRDefault="00F21320" w:rsidP="00492D7F">
      <w:pPr>
        <w:pStyle w:val="Tabel"/>
        <w:rPr>
          <w:szCs w:val="21"/>
        </w:rPr>
      </w:pPr>
    </w:p>
    <w:sectPr w:rsidR="00F21320" w:rsidRPr="00F56602" w:rsidSect="00E26AFD">
      <w:pgSz w:w="16840" w:h="11900" w:orient="landscape"/>
      <w:pgMar w:top="1247" w:right="2070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A2F7" w14:textId="77777777" w:rsidR="004F788D" w:rsidRDefault="004F788D" w:rsidP="0017003C">
      <w:pPr>
        <w:spacing w:line="240" w:lineRule="auto"/>
      </w:pPr>
      <w:r>
        <w:separator/>
      </w:r>
    </w:p>
  </w:endnote>
  <w:endnote w:type="continuationSeparator" w:id="0">
    <w:p w14:paraId="6DC47747" w14:textId="77777777" w:rsidR="004F788D" w:rsidRDefault="004F788D" w:rsidP="00170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B354" w14:textId="77777777" w:rsidR="0017003C" w:rsidRDefault="005F51CB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4C6EB313" wp14:editId="4DD8C894">
              <wp:simplePos x="0" y="0"/>
              <wp:positionH relativeFrom="column">
                <wp:posOffset>-545465</wp:posOffset>
              </wp:positionH>
              <wp:positionV relativeFrom="page">
                <wp:posOffset>10119995</wp:posOffset>
              </wp:positionV>
              <wp:extent cx="5342482" cy="381000"/>
              <wp:effectExtent l="0" t="0" r="0" b="0"/>
              <wp:wrapNone/>
              <wp:docPr id="2" name="Groe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2482" cy="381000"/>
                        <a:chOff x="0" y="0"/>
                        <a:chExt cx="5342119" cy="381000"/>
                      </a:xfrm>
                    </wpg:grpSpPr>
                    <wps:wsp>
                      <wps:cNvPr id="3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1847952" y="2814"/>
                          <a:ext cx="3494167" cy="349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9BC66" w14:textId="4CCB4660" w:rsidR="005F51CB" w:rsidRPr="00B81180" w:rsidRDefault="00F56602" w:rsidP="005F51CB">
                            <w:pPr>
                              <w:pStyle w:val="Voettekst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34213018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fldChar w:fldCharType="begin"/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instrText xml:space="preserve"> FILENAME   \* MERGEFORMAT </w:instrText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noProof/>
                                    <w:color w:val="006A9B" w:themeColor="text2"/>
                                    <w:sz w:val="16"/>
                                  </w:rPr>
                                  <w:t>10809.06 HES 9--Annex---Standard-Contract-Clause-(17112021) pl1 - 461.docx</w:t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fldChar w:fldCharType="end"/>
                                </w:r>
                                <w:r w:rsidR="00141476">
                                  <w:rPr>
                                    <w:rFonts w:asciiTheme="majorHAnsi" w:hAnsiTheme="majorHAnsi"/>
                                    <w:color w:val="006A9B" w:themeColor="text2"/>
                                    <w:sz w:val="16"/>
                                  </w:rPr>
                                  <w:t xml:space="preserve"> Strona </w:t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begin"/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instrText>PAGE</w:instrText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separate"/>
                                </w:r>
                                <w:r w:rsidR="00EB63A5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t>8</w:t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end"/>
                                </w:r>
                                <w:r w:rsidR="00141476">
                                  <w:rPr>
                                    <w:rFonts w:asciiTheme="majorHAnsi" w:hAnsiTheme="majorHAnsi"/>
                                    <w:color w:val="006A9B" w:themeColor="text2"/>
                                    <w:sz w:val="16"/>
                                  </w:rPr>
                                  <w:t xml:space="preserve"> z </w:t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begin"/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instrText>NUMPAGES</w:instrText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separate"/>
                                </w:r>
                                <w:r w:rsidR="00EB63A5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t>8</w:t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454ED" w14:textId="77777777" w:rsidR="005F51CB" w:rsidRPr="00B81180" w:rsidRDefault="00F56602" w:rsidP="005F51CB">
                            <w:pPr>
                              <w:pStyle w:val="Voetteks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61255885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141476">
                                  <w:rPr>
                                    <w:rFonts w:asciiTheme="majorHAnsi" w:hAnsi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t>www.hesinternational.eu</w:t>
                                </w:r>
                              </w:sdtContent>
                            </w:sdt>
                            <w:r w:rsidR="00141476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" name="Ovaal 6"/>
                      <wps:cNvSpPr/>
                      <wps:spPr>
                        <a:xfrm>
                          <a:off x="1700732" y="58421"/>
                          <a:ext cx="132715" cy="13271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6EB313" id="Groep 2" o:spid="_x0000_s1026" style="position:absolute;margin-left:-42.95pt;margin-top:796.85pt;width:420.65pt;height:30pt;z-index:251665408;mso-position-vertical-relative:page;mso-width-relative:margin;mso-height-relative:margin" coordsize="5342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left:18479;top:28;width:34942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<v:textbox style="mso-fit-shape-to-text:t">
                  <w:txbxContent>
                    <w:p w14:paraId="32E9BC66" w14:textId="4CCB4660" w:rsidR="005F51CB" w:rsidRPr="00B81180" w:rsidRDefault="00F56602" w:rsidP="005F51CB">
                      <w:pPr>
                        <w:pStyle w:val="Voettekst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34213018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5F51CB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fldChar w:fldCharType="begin"/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instrText xml:space="preserve"> FILENAME   \* MERGEFORMAT </w:instrText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006A9B" w:themeColor="text2"/>
                              <w:sz w:val="16"/>
                            </w:rPr>
                            <w:t>10809.06 HES 9--Annex---Standard-Contract-Clause-(17112021) pl1 - 461.docx</w:t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fldChar w:fldCharType="end"/>
                          </w:r>
                          <w:r w:rsidR="00141476">
                            <w:rPr>
                              <w:rFonts w:asciiTheme="majorHAnsi" w:hAnsiTheme="majorHAnsi"/>
                              <w:color w:val="006A9B" w:themeColor="text2"/>
                              <w:sz w:val="16"/>
                            </w:rPr>
                            <w:t xml:space="preserve"> Strona </w:t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begin"/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instrText>PAGE</w:instrText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separate"/>
                          </w:r>
                          <w:r w:rsidR="00EB63A5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t>8</w:t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end"/>
                          </w:r>
                          <w:r w:rsidR="00141476">
                            <w:rPr>
                              <w:rFonts w:asciiTheme="majorHAnsi" w:hAnsiTheme="majorHAnsi"/>
                              <w:color w:val="006A9B" w:themeColor="text2"/>
                              <w:sz w:val="16"/>
                            </w:rPr>
                            <w:t xml:space="preserve"> z </w:t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begin"/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instrText>NUMPAGES</w:instrText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separate"/>
                          </w:r>
                          <w:r w:rsidR="00EB63A5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t>8</w:t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shape id="Tekstvak 2" o:spid="_x0000_s1028" type="#_x0000_t202" style="position:absolute;width:1701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6C5454ED" w14:textId="77777777" w:rsidR="005F51CB" w:rsidRPr="00B81180" w:rsidRDefault="00F56602" w:rsidP="005F51CB">
                      <w:pPr>
                        <w:pStyle w:val="Voettekst"/>
                        <w:jc w:val="right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61255885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141476">
                            <w:rPr>
                              <w:rFonts w:asciiTheme="majorHAnsi" w:hAnsiTheme="majorHAnsi"/>
                              <w:b/>
                              <w:color w:val="006A9B" w:themeColor="text2"/>
                              <w:sz w:val="16"/>
                            </w:rPr>
                            <w:t>www.hesinternational.eu</w:t>
                          </w:r>
                        </w:sdtContent>
                      </w:sdt>
                      <w:r w:rsidR="00141476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  <v:oval id="Ovaal 6" o:spid="_x0000_s1029" style="position:absolute;left:17007;top:584;width:1327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" fillcolor="#719e8b [3205]" stroked="f" strokeweight=".5pt">
                <v:stroke joinstyle="miter"/>
              </v:oval>
              <w10:wrap anchory="page"/>
              <w10:anchorlock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1093A618" wp14:editId="0B578F69">
          <wp:simplePos x="0" y="0"/>
          <wp:positionH relativeFrom="page">
            <wp:posOffset>5778500</wp:posOffset>
          </wp:positionH>
          <wp:positionV relativeFrom="page">
            <wp:posOffset>10153015</wp:posOffset>
          </wp:positionV>
          <wp:extent cx="1144800" cy="169200"/>
          <wp:effectExtent l="0" t="0" r="0" b="254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S_Bulk_for-lif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8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E544" w14:textId="77777777" w:rsidR="0017003C" w:rsidRDefault="0054685B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3A33162" wp14:editId="76AA2A61">
              <wp:simplePos x="0" y="0"/>
              <wp:positionH relativeFrom="column">
                <wp:posOffset>-545465</wp:posOffset>
              </wp:positionH>
              <wp:positionV relativeFrom="page">
                <wp:posOffset>10119995</wp:posOffset>
              </wp:positionV>
              <wp:extent cx="5332458" cy="381000"/>
              <wp:effectExtent l="0" t="0" r="1905" b="0"/>
              <wp:wrapNone/>
              <wp:docPr id="11" name="Groe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2458" cy="381000"/>
                        <a:chOff x="0" y="0"/>
                        <a:chExt cx="5331865" cy="381000"/>
                      </a:xfrm>
                    </wpg:grpSpPr>
                    <wps:wsp>
                      <wps:cNvPr id="217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1848008" y="2818"/>
                          <a:ext cx="3483857" cy="349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25213" w14:textId="154E9666" w:rsidR="0054685B" w:rsidRPr="00B81180" w:rsidRDefault="00F56602" w:rsidP="0054685B">
                            <w:pPr>
                              <w:pStyle w:val="Voettekst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70523852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fldChar w:fldCharType="begin"/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instrText xml:space="preserve"> FILENAME   \* MERGEFORMAT </w:instrText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noProof/>
                                    <w:color w:val="006A9B" w:themeColor="text2"/>
                                    <w:sz w:val="16"/>
                                  </w:rPr>
                                  <w:t>10809.06 HES 9--Annex---Standard-Contract-Clause-(17112021) pl1 - 461.docx</w:t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fldChar w:fldCharType="end"/>
                                </w:r>
                                <w:r w:rsidR="00141476">
                                  <w:rPr>
                                    <w:rFonts w:asciiTheme="majorHAnsi" w:hAnsiTheme="majorHAnsi"/>
                                    <w:color w:val="006A9B" w:themeColor="text2"/>
                                    <w:sz w:val="16"/>
                                  </w:rPr>
                                  <w:t xml:space="preserve"> </w:t>
                                </w:r>
                                <w:r w:rsidR="00141476">
                                  <w:rPr>
                                    <w:rFonts w:asciiTheme="majorHAnsi" w:hAnsiTheme="majorHAnsi"/>
                                    <w:color w:val="006A9B" w:themeColor="text2"/>
                                    <w:sz w:val="16"/>
                                  </w:rPr>
                                  <w:t xml:space="preserve">Strona </w:t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begin"/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instrText>PAGE</w:instrText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separate"/>
                                </w:r>
                                <w:r w:rsidR="00EB63A5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t>1</w:t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end"/>
                                </w:r>
                                <w:r w:rsidR="00141476">
                                  <w:rPr>
                                    <w:rFonts w:asciiTheme="majorHAnsi" w:hAnsiTheme="majorHAnsi"/>
                                    <w:color w:val="006A9B" w:themeColor="text2"/>
                                    <w:sz w:val="16"/>
                                  </w:rPr>
                                  <w:t xml:space="preserve"> z </w:t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begin"/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instrText>NUMPAGES</w:instrText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separate"/>
                                </w:r>
                                <w:r w:rsidR="00EB63A5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t>8</w:t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5F42F" w14:textId="77777777" w:rsidR="0054685B" w:rsidRPr="00B81180" w:rsidRDefault="00F56602" w:rsidP="0054685B">
                            <w:pPr>
                              <w:pStyle w:val="Voetteks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6446471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141476">
                                  <w:rPr>
                                    <w:rFonts w:asciiTheme="majorHAnsi" w:hAnsi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t>www.hesinternational.eu</w:t>
                                </w:r>
                              </w:sdtContent>
                            </w:sdt>
                            <w:r w:rsidR="00141476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7" name="Ovaal 7"/>
                      <wps:cNvSpPr/>
                      <wps:spPr>
                        <a:xfrm>
                          <a:off x="1700732" y="50639"/>
                          <a:ext cx="132715" cy="13271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A33162" id="Groep 11" o:spid="_x0000_s1030" style="position:absolute;margin-left:-42.95pt;margin-top:796.85pt;width:419.9pt;height:30pt;z-index:251663360;mso-position-vertical-relative:page;mso-width-relative:margin;mso-height-relative:margin" coordsize="5331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1" type="#_x0000_t202" style="position:absolute;left:18480;top:28;width:34838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27825213" w14:textId="154E9666" w:rsidR="0054685B" w:rsidRPr="00B81180" w:rsidRDefault="00F56602" w:rsidP="0054685B">
                      <w:pPr>
                        <w:pStyle w:val="Voettekst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170523852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54685B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fldChar w:fldCharType="begin"/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instrText xml:space="preserve"> FILENAME   \* MERGEFORMAT </w:instrText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006A9B" w:themeColor="text2"/>
                              <w:sz w:val="16"/>
                            </w:rPr>
                            <w:t>10809.06 HES 9--Annex---Standard-Contract-Clause-(17112021) pl1 - 461.docx</w:t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fldChar w:fldCharType="end"/>
                          </w:r>
                          <w:r w:rsidR="00141476">
                            <w:rPr>
                              <w:rFonts w:asciiTheme="majorHAnsi" w:hAnsiTheme="majorHAnsi"/>
                              <w:color w:val="006A9B" w:themeColor="text2"/>
                              <w:sz w:val="16"/>
                            </w:rPr>
                            <w:t xml:space="preserve"> </w:t>
                          </w:r>
                          <w:r w:rsidR="00141476">
                            <w:rPr>
                              <w:rFonts w:asciiTheme="majorHAnsi" w:hAnsiTheme="majorHAnsi"/>
                              <w:color w:val="006A9B" w:themeColor="text2"/>
                              <w:sz w:val="16"/>
                            </w:rPr>
                            <w:t xml:space="preserve">Strona </w:t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begin"/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instrText>PAGE</w:instrText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separate"/>
                          </w:r>
                          <w:r w:rsidR="00EB63A5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t>1</w:t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end"/>
                          </w:r>
                          <w:r w:rsidR="00141476">
                            <w:rPr>
                              <w:rFonts w:asciiTheme="majorHAnsi" w:hAnsiTheme="majorHAnsi"/>
                              <w:color w:val="006A9B" w:themeColor="text2"/>
                              <w:sz w:val="16"/>
                            </w:rPr>
                            <w:t xml:space="preserve"> z </w:t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begin"/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instrText>NUMPAGES</w:instrText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separate"/>
                          </w:r>
                          <w:r w:rsidR="00EB63A5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t>8</w:t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shape id="Tekstvak 2" o:spid="_x0000_s1032" type="#_x0000_t202" style="position:absolute;width:1701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B95F42F" w14:textId="77777777" w:rsidR="0054685B" w:rsidRPr="00B81180" w:rsidRDefault="00F56602" w:rsidP="0054685B">
                      <w:pPr>
                        <w:pStyle w:val="Voettekst"/>
                        <w:jc w:val="right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6446471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141476">
                            <w:rPr>
                              <w:rFonts w:asciiTheme="majorHAnsi" w:hAnsiTheme="majorHAnsi"/>
                              <w:b/>
                              <w:color w:val="006A9B" w:themeColor="text2"/>
                              <w:sz w:val="16"/>
                            </w:rPr>
                            <w:t>www.hesinternational.eu</w:t>
                          </w:r>
                        </w:sdtContent>
                      </w:sdt>
                      <w:r w:rsidR="00141476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  <v:oval id="Ovaal 7" o:spid="_x0000_s1033" style="position:absolute;left:17007;top:506;width:1327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" fillcolor="#719e8b [3205]" stroked="f" strokeweight=".5pt">
                <v:stroke joinstyle="miter"/>
              </v:oval>
              <w10:wrap anchory="page"/>
              <w10:anchorlock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1" layoutInCell="1" allowOverlap="1" wp14:anchorId="7928CAC3" wp14:editId="2CF7A10A">
          <wp:simplePos x="0" y="0"/>
          <wp:positionH relativeFrom="page">
            <wp:posOffset>5778500</wp:posOffset>
          </wp:positionH>
          <wp:positionV relativeFrom="page">
            <wp:posOffset>10153015</wp:posOffset>
          </wp:positionV>
          <wp:extent cx="1144800" cy="169200"/>
          <wp:effectExtent l="0" t="0" r="0" b="254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S_Bulk_for-lif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8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6A86" w14:textId="77777777" w:rsidR="004F788D" w:rsidRDefault="004F788D" w:rsidP="0017003C">
      <w:pPr>
        <w:spacing w:line="240" w:lineRule="auto"/>
      </w:pPr>
      <w:r>
        <w:separator/>
      </w:r>
    </w:p>
  </w:footnote>
  <w:footnote w:type="continuationSeparator" w:id="0">
    <w:p w14:paraId="1E77D9D2" w14:textId="77777777" w:rsidR="004F788D" w:rsidRDefault="004F788D" w:rsidP="001700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4A48" w14:textId="77777777" w:rsidR="0017003C" w:rsidRDefault="00310343">
    <w:pPr>
      <w:pStyle w:val="Koptekst"/>
    </w:pPr>
    <w:r>
      <w:rPr>
        <w:noProof/>
      </w:rPr>
      <w:drawing>
        <wp:anchor distT="0" distB="0" distL="114300" distR="114300" simplePos="0" relativeHeight="251667456" behindDoc="1" locked="1" layoutInCell="1" allowOverlap="1" wp14:anchorId="39255476" wp14:editId="6825F7E0">
          <wp:simplePos x="0" y="0"/>
          <wp:positionH relativeFrom="page">
            <wp:posOffset>6084570</wp:posOffset>
          </wp:positionH>
          <wp:positionV relativeFrom="page">
            <wp:posOffset>431800</wp:posOffset>
          </wp:positionV>
          <wp:extent cx="838800" cy="720000"/>
          <wp:effectExtent l="0" t="0" r="0" b="444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S_Internatio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56D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72662"/>
    <w:multiLevelType w:val="hybridMultilevel"/>
    <w:tmpl w:val="861448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DE4CE4"/>
    <w:multiLevelType w:val="hybridMultilevel"/>
    <w:tmpl w:val="2F2AA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619E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55051"/>
    <w:multiLevelType w:val="hybridMultilevel"/>
    <w:tmpl w:val="D326EAD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9C0445"/>
    <w:multiLevelType w:val="hybridMultilevel"/>
    <w:tmpl w:val="12AA7AC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552CA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4E4A0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106F26"/>
    <w:multiLevelType w:val="hybridMultilevel"/>
    <w:tmpl w:val="4164055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377A0"/>
    <w:multiLevelType w:val="multilevel"/>
    <w:tmpl w:val="0413001D"/>
    <w:numStyleLink w:val="Stijl1"/>
  </w:abstractNum>
  <w:abstractNum w:abstractNumId="10" w15:restartNumberingAfterBreak="0">
    <w:nsid w:val="4B401AC1"/>
    <w:multiLevelType w:val="multilevel"/>
    <w:tmpl w:val="DAD0DB56"/>
    <w:lvl w:ilvl="0">
      <w:start w:val="1"/>
      <w:numFmt w:val="decimal"/>
      <w:pStyle w:val="Kop2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11" w15:restartNumberingAfterBreak="0">
    <w:nsid w:val="5A5952AA"/>
    <w:multiLevelType w:val="multilevel"/>
    <w:tmpl w:val="3C563BC8"/>
    <w:name w:val="General 1"/>
    <w:lvl w:ilvl="0">
      <w:start w:val="1"/>
      <w:numFmt w:val="decimal"/>
      <w:pStyle w:val="General1L1"/>
      <w:isLgl/>
      <w:lvlText w:val="%1."/>
      <w:lvlJc w:val="left"/>
      <w:pPr>
        <w:tabs>
          <w:tab w:val="left" w:pos="720"/>
        </w:tabs>
        <w:ind w:left="720" w:hanging="720"/>
      </w:pPr>
      <w:rPr>
        <w:rFonts w:asciiTheme="minorHAnsi" w:hAnsiTheme="minorHAnsi" w:hint="default"/>
        <w:b w:val="0"/>
        <w:i w:val="0"/>
        <w:caps w:val="0"/>
        <w:strike w:val="0"/>
        <w:dstrike w:val="0"/>
        <w:color w:val="auto"/>
        <w:sz w:val="21"/>
        <w:szCs w:val="21"/>
      </w:rPr>
    </w:lvl>
    <w:lvl w:ilvl="1">
      <w:start w:val="1"/>
      <w:numFmt w:val="decimal"/>
      <w:pStyle w:val="General1L2"/>
      <w:isLgl/>
      <w:lvlText w:val="%1.%2"/>
      <w:lvlJc w:val="left"/>
      <w:pPr>
        <w:tabs>
          <w:tab w:val="left" w:pos="720"/>
        </w:tabs>
        <w:ind w:left="720" w:hanging="720"/>
      </w:pPr>
      <w:rPr>
        <w:rFonts w:asciiTheme="minorHAnsi" w:hAnsiTheme="minorHAnsi" w:hint="default"/>
        <w:b w:val="0"/>
        <w:i w:val="0"/>
        <w:caps w:val="0"/>
        <w:strike w:val="0"/>
        <w:dstrike w:val="0"/>
        <w:color w:val="auto"/>
        <w:sz w:val="18"/>
      </w:rPr>
    </w:lvl>
    <w:lvl w:ilvl="2">
      <w:start w:val="1"/>
      <w:numFmt w:val="lowerLetter"/>
      <w:pStyle w:val="General1L3"/>
      <w:lvlText w:val="(%3)"/>
      <w:lvlJc w:val="left"/>
      <w:pPr>
        <w:tabs>
          <w:tab w:val="left" w:pos="1440"/>
        </w:tabs>
        <w:ind w:left="1440" w:hanging="720"/>
      </w:pPr>
      <w:rPr>
        <w:rFonts w:asciiTheme="minorHAnsi" w:hAnsiTheme="minorHAnsi" w:hint="default"/>
        <w:b w:val="0"/>
        <w:i w:val="0"/>
        <w:caps w:val="0"/>
        <w:strike w:val="0"/>
        <w:dstrike w:val="0"/>
        <w:color w:val="auto"/>
        <w:sz w:val="20"/>
      </w:rPr>
    </w:lvl>
    <w:lvl w:ilvl="3">
      <w:start w:val="1"/>
      <w:numFmt w:val="lowerRoman"/>
      <w:pStyle w:val="General1L4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4"/>
      </w:rPr>
    </w:lvl>
    <w:lvl w:ilvl="4">
      <w:start w:val="1"/>
      <w:numFmt w:val="upperLetter"/>
      <w:pStyle w:val="General1L5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4"/>
      </w:rPr>
    </w:lvl>
    <w:lvl w:ilvl="5">
      <w:start w:val="1"/>
      <w:numFmt w:val="decimal"/>
      <w:pStyle w:val="General1L6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4"/>
      </w:rPr>
    </w:lvl>
    <w:lvl w:ilvl="6">
      <w:start w:val="1"/>
      <w:numFmt w:val="none"/>
      <w:lvlRestart w:val="0"/>
      <w:pStyle w:val="General1L7"/>
      <w:suff w:val="nothing"/>
      <w:lvlText w:val=""/>
      <w:lvlJc w:val="left"/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4"/>
      </w:rPr>
    </w:lvl>
    <w:lvl w:ilvl="7">
      <w:start w:val="1"/>
      <w:numFmt w:val="none"/>
      <w:lvlRestart w:val="0"/>
      <w:pStyle w:val="General1L8"/>
      <w:suff w:val="nothing"/>
      <w:lvlText w:val=""/>
      <w:lvlJc w:val="left"/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4"/>
      </w:rPr>
    </w:lvl>
    <w:lvl w:ilvl="8">
      <w:start w:val="1"/>
      <w:numFmt w:val="none"/>
      <w:lvlRestart w:val="0"/>
      <w:pStyle w:val="General1L9"/>
      <w:suff w:val="nothing"/>
      <w:lvlText w:val=""/>
      <w:lvlJc w:val="left"/>
      <w:rPr>
        <w:rFonts w:ascii="Arial" w:hAnsi="Arial"/>
        <w:b w:val="0"/>
        <w:i w:val="0"/>
        <w:caps w:val="0"/>
        <w:strike w:val="0"/>
        <w:dstrike w:val="0"/>
        <w:color w:val="auto"/>
        <w:sz w:val="24"/>
      </w:rPr>
    </w:lvl>
  </w:abstractNum>
  <w:abstractNum w:abstractNumId="12" w15:restartNumberingAfterBreak="0">
    <w:nsid w:val="5DA00EF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1530ACE"/>
    <w:multiLevelType w:val="hybridMultilevel"/>
    <w:tmpl w:val="4C0A99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887F5E"/>
    <w:multiLevelType w:val="hybridMultilevel"/>
    <w:tmpl w:val="0E46F54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66FC4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352C7D"/>
    <w:multiLevelType w:val="multilevel"/>
    <w:tmpl w:val="E5466FB8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17" w15:restartNumberingAfterBreak="0">
    <w:nsid w:val="73EC07C7"/>
    <w:multiLevelType w:val="multilevel"/>
    <w:tmpl w:val="B56A2A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530102A"/>
    <w:multiLevelType w:val="multilevel"/>
    <w:tmpl w:val="0413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7E195E91"/>
    <w:multiLevelType w:val="multilevel"/>
    <w:tmpl w:val="0413001D"/>
    <w:styleLink w:val="Stij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9"/>
  </w:num>
  <w:num w:numId="5">
    <w:abstractNumId w:val="9"/>
  </w:num>
  <w:num w:numId="6">
    <w:abstractNumId w:val="15"/>
  </w:num>
  <w:num w:numId="7">
    <w:abstractNumId w:val="17"/>
  </w:num>
  <w:num w:numId="8">
    <w:abstractNumId w:val="7"/>
  </w:num>
  <w:num w:numId="9">
    <w:abstractNumId w:val="6"/>
  </w:num>
  <w:num w:numId="10">
    <w:abstractNumId w:val="10"/>
  </w:num>
  <w:num w:numId="11">
    <w:abstractNumId w:val="18"/>
  </w:num>
  <w:num w:numId="12">
    <w:abstractNumId w:val="16"/>
  </w:num>
  <w:num w:numId="13">
    <w:abstractNumId w:val="4"/>
  </w:num>
  <w:num w:numId="14">
    <w:abstractNumId w:val="5"/>
  </w:num>
  <w:num w:numId="15">
    <w:abstractNumId w:val="14"/>
  </w:num>
  <w:num w:numId="16">
    <w:abstractNumId w:val="8"/>
  </w:num>
  <w:num w:numId="17">
    <w:abstractNumId w:val="13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62"/>
    <w:rsid w:val="00012D80"/>
    <w:rsid w:val="000152F1"/>
    <w:rsid w:val="00024095"/>
    <w:rsid w:val="000622B0"/>
    <w:rsid w:val="000657D4"/>
    <w:rsid w:val="000B33F2"/>
    <w:rsid w:val="00141476"/>
    <w:rsid w:val="0017003C"/>
    <w:rsid w:val="001B0DD8"/>
    <w:rsid w:val="001E6BB5"/>
    <w:rsid w:val="00213F9D"/>
    <w:rsid w:val="00244B25"/>
    <w:rsid w:val="0026213A"/>
    <w:rsid w:val="00286B8A"/>
    <w:rsid w:val="002B5C5A"/>
    <w:rsid w:val="002C0DB5"/>
    <w:rsid w:val="002D43E8"/>
    <w:rsid w:val="00310343"/>
    <w:rsid w:val="00331490"/>
    <w:rsid w:val="00356946"/>
    <w:rsid w:val="003809B6"/>
    <w:rsid w:val="00422527"/>
    <w:rsid w:val="00461434"/>
    <w:rsid w:val="00492D7F"/>
    <w:rsid w:val="004F788D"/>
    <w:rsid w:val="00500B61"/>
    <w:rsid w:val="00523D65"/>
    <w:rsid w:val="0054685B"/>
    <w:rsid w:val="005726D9"/>
    <w:rsid w:val="005B702D"/>
    <w:rsid w:val="005F51CB"/>
    <w:rsid w:val="0061236F"/>
    <w:rsid w:val="00616243"/>
    <w:rsid w:val="006358E1"/>
    <w:rsid w:val="006468DF"/>
    <w:rsid w:val="00657546"/>
    <w:rsid w:val="00690687"/>
    <w:rsid w:val="006A3E51"/>
    <w:rsid w:val="006C176E"/>
    <w:rsid w:val="006C20C7"/>
    <w:rsid w:val="00757E3E"/>
    <w:rsid w:val="00790AFA"/>
    <w:rsid w:val="00795062"/>
    <w:rsid w:val="007D3F5A"/>
    <w:rsid w:val="00825AEE"/>
    <w:rsid w:val="00891367"/>
    <w:rsid w:val="008F43DC"/>
    <w:rsid w:val="009061C0"/>
    <w:rsid w:val="00910BFB"/>
    <w:rsid w:val="0092426E"/>
    <w:rsid w:val="00935886"/>
    <w:rsid w:val="00935EAC"/>
    <w:rsid w:val="00996847"/>
    <w:rsid w:val="00A02A67"/>
    <w:rsid w:val="00A17052"/>
    <w:rsid w:val="00A51003"/>
    <w:rsid w:val="00A568C0"/>
    <w:rsid w:val="00A9241B"/>
    <w:rsid w:val="00B61F57"/>
    <w:rsid w:val="00B665DC"/>
    <w:rsid w:val="00B97FCC"/>
    <w:rsid w:val="00BA64F9"/>
    <w:rsid w:val="00BD0628"/>
    <w:rsid w:val="00C1605C"/>
    <w:rsid w:val="00C673A3"/>
    <w:rsid w:val="00C934A4"/>
    <w:rsid w:val="00D50886"/>
    <w:rsid w:val="00D67983"/>
    <w:rsid w:val="00D752B0"/>
    <w:rsid w:val="00D773F2"/>
    <w:rsid w:val="00DA4A3D"/>
    <w:rsid w:val="00DF72CB"/>
    <w:rsid w:val="00E26AFD"/>
    <w:rsid w:val="00E4346D"/>
    <w:rsid w:val="00E54DC0"/>
    <w:rsid w:val="00E562F4"/>
    <w:rsid w:val="00E660C4"/>
    <w:rsid w:val="00E84C6D"/>
    <w:rsid w:val="00EA13A4"/>
    <w:rsid w:val="00EB52B0"/>
    <w:rsid w:val="00EB63A5"/>
    <w:rsid w:val="00EE1C92"/>
    <w:rsid w:val="00F21320"/>
    <w:rsid w:val="00F35E34"/>
    <w:rsid w:val="00F56602"/>
    <w:rsid w:val="00F8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2623D"/>
  <w15:chartTrackingRefBased/>
  <w15:docId w15:val="{437F17A1-A4A1-4F22-8C76-0A340023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1434"/>
    <w:pPr>
      <w:spacing w:line="300" w:lineRule="exact"/>
    </w:pPr>
    <w:rPr>
      <w:color w:val="000000" w:themeColor="text1"/>
      <w:sz w:val="21"/>
    </w:rPr>
  </w:style>
  <w:style w:type="paragraph" w:styleId="Kop1">
    <w:name w:val="heading 1"/>
    <w:basedOn w:val="Standaard"/>
    <w:next w:val="Standaard"/>
    <w:link w:val="Kop1Char"/>
    <w:uiPriority w:val="9"/>
    <w:rsid w:val="00F21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36FAE" w:themeColor="accent1" w:themeShade="BF"/>
      <w:sz w:val="32"/>
      <w:szCs w:val="32"/>
    </w:rPr>
  </w:style>
  <w:style w:type="paragraph" w:styleId="Kop2">
    <w:name w:val="heading 2"/>
    <w:aliases w:val="Hoofdstuk kop"/>
    <w:next w:val="Standaard"/>
    <w:link w:val="Kop2Char"/>
    <w:autoRedefine/>
    <w:qFormat/>
    <w:rsid w:val="00E4346D"/>
    <w:pPr>
      <w:keepNext/>
      <w:keepLines/>
      <w:numPr>
        <w:numId w:val="10"/>
      </w:numPr>
      <w:spacing w:after="300" w:line="400" w:lineRule="exact"/>
      <w:contextualSpacing/>
      <w:outlineLvl w:val="1"/>
    </w:pPr>
    <w:rPr>
      <w:rFonts w:eastAsiaTheme="majorEastAsia" w:cstheme="majorBidi"/>
      <w:b/>
      <w:bCs/>
      <w:spacing w:val="10"/>
      <w:kern w:val="24"/>
      <w:sz w:val="36"/>
      <w:szCs w:val="36"/>
      <w:lang w:eastAsia="en-GB" w:bidi="ar-AE"/>
    </w:rPr>
  </w:style>
  <w:style w:type="paragraph" w:styleId="Kop3">
    <w:name w:val="heading 3"/>
    <w:aliases w:val="subkop intro"/>
    <w:basedOn w:val="Standaard"/>
    <w:next w:val="Standaard"/>
    <w:link w:val="Kop3Char"/>
    <w:autoRedefine/>
    <w:uiPriority w:val="9"/>
    <w:unhideWhenUsed/>
    <w:qFormat/>
    <w:rsid w:val="00790AFA"/>
    <w:pPr>
      <w:keepNext/>
      <w:keepLines/>
      <w:spacing w:after="300"/>
      <w:outlineLvl w:val="2"/>
    </w:pPr>
    <w:rPr>
      <w:rFonts w:eastAsiaTheme="majorEastAsia" w:cstheme="majorBidi"/>
      <w:color w:val="006A9B" w:themeColor="text2"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F213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36FAE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13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36FAE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13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74A73" w:themeColor="accent1" w:themeShade="7F"/>
    </w:rPr>
  </w:style>
  <w:style w:type="paragraph" w:styleId="Kop7">
    <w:name w:val="heading 7"/>
    <w:aliases w:val="bovenkop"/>
    <w:next w:val="kop10"/>
    <w:link w:val="Kop7Char"/>
    <w:autoRedefine/>
    <w:qFormat/>
    <w:rsid w:val="002B5C5A"/>
    <w:pPr>
      <w:keepNext/>
      <w:keepLines/>
      <w:spacing w:before="20" w:line="500" w:lineRule="exact"/>
      <w:outlineLvl w:val="6"/>
    </w:pPr>
    <w:rPr>
      <w:rFonts w:asciiTheme="majorHAnsi" w:eastAsiaTheme="majorEastAsia" w:hAnsiTheme="majorHAnsi" w:cstheme="majorBidi"/>
      <w:b/>
      <w:iCs/>
      <w:color w:val="000000" w:themeColor="text1"/>
      <w:kern w:val="24"/>
      <w:sz w:val="23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F2132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132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Hoofdstuk kop Char"/>
    <w:basedOn w:val="Standaardalinea-lettertype"/>
    <w:link w:val="Kop2"/>
    <w:rsid w:val="00E4346D"/>
    <w:rPr>
      <w:rFonts w:eastAsiaTheme="majorEastAsia" w:cstheme="majorBidi"/>
      <w:b/>
      <w:bCs/>
      <w:spacing w:val="10"/>
      <w:kern w:val="24"/>
      <w:sz w:val="36"/>
      <w:szCs w:val="36"/>
      <w:lang w:eastAsia="en-GB" w:bidi="ar-AE"/>
    </w:rPr>
  </w:style>
  <w:style w:type="character" w:customStyle="1" w:styleId="Kop7Char">
    <w:name w:val="Kop 7 Char"/>
    <w:aliases w:val="bovenkop Char"/>
    <w:basedOn w:val="Standaardalinea-lettertype"/>
    <w:link w:val="Kop7"/>
    <w:rsid w:val="002B5C5A"/>
    <w:rPr>
      <w:rFonts w:asciiTheme="majorHAnsi" w:eastAsiaTheme="majorEastAsia" w:hAnsiTheme="majorHAnsi" w:cstheme="majorBidi"/>
      <w:b/>
      <w:iCs/>
      <w:color w:val="000000" w:themeColor="text1"/>
      <w:kern w:val="24"/>
      <w:sz w:val="23"/>
      <w:lang w:val="pl-PL"/>
    </w:rPr>
  </w:style>
  <w:style w:type="paragraph" w:customStyle="1" w:styleId="kop10">
    <w:name w:val="kop 1"/>
    <w:basedOn w:val="Standaard"/>
    <w:next w:val="Kop2"/>
    <w:link w:val="kop1Char0"/>
    <w:autoRedefine/>
    <w:qFormat/>
    <w:rsid w:val="00244B25"/>
    <w:pPr>
      <w:spacing w:after="800" w:line="600" w:lineRule="exact"/>
      <w:contextualSpacing/>
      <w:outlineLvl w:val="0"/>
    </w:pPr>
    <w:rPr>
      <w:rFonts w:eastAsia="SimSun" w:cs="Times New Roman"/>
      <w:b/>
      <w:caps/>
      <w:kern w:val="24"/>
      <w:sz w:val="54"/>
      <w:lang w:eastAsia="en-GB" w:bidi="ar-AE"/>
    </w:rPr>
  </w:style>
  <w:style w:type="character" w:customStyle="1" w:styleId="kop1Char0">
    <w:name w:val="kop 1 Char"/>
    <w:basedOn w:val="Standaardalinea-lettertype"/>
    <w:link w:val="kop10"/>
    <w:rsid w:val="00244B25"/>
    <w:rPr>
      <w:rFonts w:eastAsia="SimSun" w:cs="Times New Roman"/>
      <w:b/>
      <w:caps/>
      <w:color w:val="000000" w:themeColor="text1"/>
      <w:kern w:val="24"/>
      <w:sz w:val="54"/>
      <w:lang w:val="pl-PL" w:eastAsia="en-GB" w:bidi="ar-AE"/>
    </w:rPr>
  </w:style>
  <w:style w:type="paragraph" w:styleId="Lijstalinea">
    <w:name w:val="List Paragraph"/>
    <w:basedOn w:val="Standaard"/>
    <w:uiPriority w:val="34"/>
    <w:qFormat/>
    <w:rsid w:val="00A51003"/>
    <w:pPr>
      <w:ind w:left="680"/>
      <w:contextualSpacing/>
    </w:pPr>
  </w:style>
  <w:style w:type="numbering" w:customStyle="1" w:styleId="Stijl1">
    <w:name w:val="Stijl1"/>
    <w:uiPriority w:val="99"/>
    <w:rsid w:val="00F21320"/>
    <w:pPr>
      <w:numPr>
        <w:numId w:val="4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F21320"/>
    <w:rPr>
      <w:rFonts w:asciiTheme="majorHAnsi" w:eastAsiaTheme="majorEastAsia" w:hAnsiTheme="majorHAnsi" w:cstheme="majorBidi"/>
      <w:color w:val="236FAE" w:themeColor="accent1" w:themeShade="BF"/>
      <w:sz w:val="32"/>
      <w:szCs w:val="32"/>
    </w:rPr>
  </w:style>
  <w:style w:type="character" w:customStyle="1" w:styleId="Kop3Char">
    <w:name w:val="Kop 3 Char"/>
    <w:aliases w:val="subkop intro Char"/>
    <w:basedOn w:val="Standaardalinea-lettertype"/>
    <w:link w:val="Kop3"/>
    <w:uiPriority w:val="9"/>
    <w:rsid w:val="00790AFA"/>
    <w:rPr>
      <w:rFonts w:eastAsiaTheme="majorEastAsia" w:cstheme="majorBidi"/>
      <w:color w:val="006A9B" w:themeColor="text2"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1320"/>
    <w:rPr>
      <w:rFonts w:asciiTheme="majorHAnsi" w:eastAsiaTheme="majorEastAsia" w:hAnsiTheme="majorHAnsi" w:cstheme="majorBidi"/>
      <w:i/>
      <w:iCs/>
      <w:color w:val="236FAE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1320"/>
    <w:rPr>
      <w:rFonts w:asciiTheme="majorHAnsi" w:eastAsiaTheme="majorEastAsia" w:hAnsiTheme="majorHAnsi" w:cstheme="majorBidi"/>
      <w:color w:val="236FAE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1320"/>
    <w:rPr>
      <w:rFonts w:asciiTheme="majorHAnsi" w:eastAsiaTheme="majorEastAsia" w:hAnsiTheme="majorHAnsi" w:cstheme="majorBidi"/>
      <w:color w:val="174A7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1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1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17003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003C"/>
    <w:rPr>
      <w:color w:val="000000" w:themeColor="text1"/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17003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003C"/>
    <w:rPr>
      <w:color w:val="000000" w:themeColor="text1"/>
      <w:sz w:val="21"/>
    </w:rPr>
  </w:style>
  <w:style w:type="paragraph" w:customStyle="1" w:styleId="HoofdstukkopKop2">
    <w:name w:val="Hoofdstuk kop  (Kop 2)"/>
    <w:basedOn w:val="Standaard"/>
    <w:rsid w:val="0054685B"/>
    <w:pPr>
      <w:pBdr>
        <w:top w:val="nil"/>
        <w:left w:val="nil"/>
        <w:bottom w:val="nil"/>
        <w:right w:val="nil"/>
        <w:between w:val="nil"/>
        <w:bar w:val="nil"/>
      </w:pBdr>
      <w:ind w:left="360" w:hanging="360"/>
    </w:pPr>
    <w:rPr>
      <w:rFonts w:ascii="Calibri" w:eastAsia="Arial Unicode MS" w:hAnsi="Calibri" w:cs="Times New Roman"/>
      <w:bdr w:val="nil"/>
    </w:rPr>
  </w:style>
  <w:style w:type="character" w:styleId="Intensievebenadrukking">
    <w:name w:val="Intense Emphasis"/>
    <w:basedOn w:val="Standaardalinea-lettertype"/>
    <w:uiPriority w:val="21"/>
    <w:rsid w:val="0061236F"/>
    <w:rPr>
      <w:i/>
      <w:iCs/>
      <w:color w:val="4094D8" w:themeColor="accent1"/>
    </w:rPr>
  </w:style>
  <w:style w:type="paragraph" w:styleId="Ondertitel">
    <w:name w:val="Subtitle"/>
    <w:aliases w:val="introtekst"/>
    <w:next w:val="Standaard"/>
    <w:link w:val="OndertitelChar"/>
    <w:autoRedefine/>
    <w:uiPriority w:val="11"/>
    <w:qFormat/>
    <w:rsid w:val="00B61F57"/>
    <w:pPr>
      <w:numPr>
        <w:ilvl w:val="1"/>
      </w:numPr>
      <w:spacing w:after="300" w:line="420" w:lineRule="exact"/>
    </w:pPr>
    <w:rPr>
      <w:rFonts w:ascii="Calibri" w:eastAsiaTheme="minorEastAsia" w:hAnsi="Calibri"/>
      <w:color w:val="006A9B" w:themeColor="text2"/>
      <w:sz w:val="36"/>
      <w:szCs w:val="22"/>
    </w:rPr>
  </w:style>
  <w:style w:type="character" w:customStyle="1" w:styleId="OndertitelChar">
    <w:name w:val="Ondertitel Char"/>
    <w:aliases w:val="introtekst Char"/>
    <w:basedOn w:val="Standaardalinea-lettertype"/>
    <w:link w:val="Ondertitel"/>
    <w:uiPriority w:val="11"/>
    <w:rsid w:val="00B61F57"/>
    <w:rPr>
      <w:rFonts w:ascii="Calibri" w:eastAsiaTheme="minorEastAsia" w:hAnsi="Calibri"/>
      <w:color w:val="006A9B" w:themeColor="text2"/>
      <w:sz w:val="36"/>
      <w:szCs w:val="22"/>
    </w:rPr>
  </w:style>
  <w:style w:type="table" w:customStyle="1" w:styleId="HESInternationaltabel">
    <w:name w:val="HES International tabel"/>
    <w:basedOn w:val="Standaardtabel"/>
    <w:uiPriority w:val="39"/>
    <w:rsid w:val="00BA64F9"/>
    <w:pPr>
      <w:adjustRightInd w:val="0"/>
    </w:pPr>
    <w:rPr>
      <w:rFonts w:ascii="Calibri" w:eastAsia="SimSun" w:hAnsi="Calibri" w:cs="Times New Roman"/>
      <w:color w:val="000000" w:themeColor="text1"/>
      <w:sz w:val="21"/>
      <w:szCs w:val="20"/>
      <w:lang w:eastAsia="nl-NL"/>
    </w:rPr>
    <w:tblPr>
      <w:tblBorders>
        <w:top w:val="single" w:sz="4" w:space="0" w:color="719E8B" w:themeColor="accent2"/>
        <w:left w:val="single" w:sz="4" w:space="0" w:color="719E8B" w:themeColor="accent2"/>
        <w:bottom w:val="single" w:sz="4" w:space="0" w:color="719E8B" w:themeColor="accent2"/>
        <w:right w:val="single" w:sz="4" w:space="0" w:color="719E8B" w:themeColor="accent2"/>
        <w:insideH w:val="single" w:sz="4" w:space="0" w:color="719E8B" w:themeColor="accent2"/>
        <w:insideV w:val="single" w:sz="4" w:space="0" w:color="719E8B" w:themeColor="accent2"/>
      </w:tblBorders>
      <w:tblCellMar>
        <w:top w:w="113" w:type="dxa"/>
        <w:bottom w:w="113" w:type="dxa"/>
      </w:tblCellMar>
    </w:tblPr>
    <w:tcPr>
      <w:shd w:val="clear" w:color="auto" w:fill="auto"/>
    </w:tcPr>
    <w:tblStylePr w:type="firstRow">
      <w:rPr>
        <w:rFonts w:ascii="Calibri" w:hAnsi="Calibri"/>
        <w:b/>
        <w:i w:val="0"/>
        <w:caps/>
        <w:smallCaps w:val="0"/>
        <w:strike w:val="0"/>
        <w:dstrike w:val="0"/>
        <w:vanish w:val="0"/>
        <w:color w:val="48655B" w:themeColor="accent3"/>
        <w:sz w:val="24"/>
        <w:u w:val="none"/>
        <w:vertAlign w:val="baseline"/>
      </w:rPr>
      <w:tblPr/>
      <w:tcPr>
        <w:shd w:val="clear" w:color="auto" w:fill="C6D8D0" w:themeFill="accent2" w:themeFillTint="66"/>
      </w:tcPr>
    </w:tblStylePr>
    <w:tblStylePr w:type="firstCol">
      <w:rPr>
        <w:rFonts w:ascii="Calibri" w:hAnsi="Calibri"/>
        <w:b w:val="0"/>
        <w:i w:val="0"/>
        <w:caps/>
        <w:smallCaps w:val="0"/>
        <w:color w:val="48655B" w:themeColor="accent3"/>
        <w:sz w:val="24"/>
      </w:rPr>
      <w:tblPr/>
      <w:tcPr>
        <w:shd w:val="clear" w:color="auto" w:fill="D7E1DD" w:themeFill="background2" w:themeFillTint="66"/>
      </w:tcPr>
    </w:tblStylePr>
  </w:style>
  <w:style w:type="paragraph" w:customStyle="1" w:styleId="Tabel">
    <w:name w:val="Tabel"/>
    <w:basedOn w:val="Standaard"/>
    <w:link w:val="TabelChar"/>
    <w:qFormat/>
    <w:rsid w:val="00996847"/>
    <w:pPr>
      <w:adjustRightInd w:val="0"/>
    </w:pPr>
    <w:rPr>
      <w:rFonts w:asciiTheme="majorHAnsi" w:eastAsia="SimSun" w:hAnsiTheme="majorHAnsi" w:cstheme="majorHAnsi"/>
      <w:szCs w:val="20"/>
      <w:lang w:eastAsia="nl-NL"/>
    </w:rPr>
  </w:style>
  <w:style w:type="character" w:customStyle="1" w:styleId="TabelChar">
    <w:name w:val="Tabel Char"/>
    <w:basedOn w:val="Standaardalinea-lettertype"/>
    <w:link w:val="Tabel"/>
    <w:rsid w:val="00996847"/>
    <w:rPr>
      <w:rFonts w:asciiTheme="majorHAnsi" w:eastAsia="SimSun" w:hAnsiTheme="majorHAnsi" w:cstheme="majorHAnsi"/>
      <w:color w:val="000000" w:themeColor="text1"/>
      <w:sz w:val="21"/>
      <w:szCs w:val="20"/>
      <w:lang w:eastAsia="nl-NL"/>
    </w:rPr>
  </w:style>
  <w:style w:type="paragraph" w:customStyle="1" w:styleId="tabeltitel">
    <w:name w:val="tabel titel"/>
    <w:link w:val="tabeltitelChar"/>
    <w:autoRedefine/>
    <w:qFormat/>
    <w:rsid w:val="00024095"/>
    <w:pPr>
      <w:framePr w:hSpace="141" w:wrap="around" w:vAnchor="text" w:hAnchor="margin" w:y="1"/>
      <w:adjustRightInd w:val="0"/>
      <w:spacing w:line="240" w:lineRule="exact"/>
    </w:pPr>
    <w:rPr>
      <w:rFonts w:ascii="Calibri" w:eastAsiaTheme="majorEastAsia" w:hAnsi="Calibri" w:cstheme="majorBidi"/>
      <w:b/>
      <w:bCs/>
      <w:iCs/>
      <w:caps/>
      <w:color w:val="48655B" w:themeColor="accent3"/>
      <w:spacing w:val="4"/>
      <w:szCs w:val="20"/>
      <w:lang w:eastAsia="nl-NL"/>
    </w:rPr>
  </w:style>
  <w:style w:type="paragraph" w:customStyle="1" w:styleId="tabelonderwerp">
    <w:name w:val="tabel onderwerp"/>
    <w:link w:val="tabelonderwerpChar"/>
    <w:autoRedefine/>
    <w:qFormat/>
    <w:rsid w:val="00492D7F"/>
    <w:pPr>
      <w:framePr w:hSpace="141" w:wrap="around" w:vAnchor="text" w:hAnchor="margin" w:y="1"/>
      <w:adjustRightInd w:val="0"/>
    </w:pPr>
    <w:rPr>
      <w:rFonts w:ascii="Calibri" w:eastAsia="Cambria" w:hAnsi="Calibri" w:cs="Times New Roman"/>
      <w:sz w:val="21"/>
      <w:szCs w:val="21"/>
      <w:lang w:eastAsia="en-GB"/>
    </w:rPr>
  </w:style>
  <w:style w:type="character" w:customStyle="1" w:styleId="tabeltitelChar">
    <w:name w:val="tabel titel Char"/>
    <w:basedOn w:val="Kop4Char"/>
    <w:link w:val="tabeltitel"/>
    <w:rsid w:val="00024095"/>
    <w:rPr>
      <w:rFonts w:ascii="Calibri" w:eastAsiaTheme="majorEastAsia" w:hAnsi="Calibri" w:cstheme="majorBidi"/>
      <w:b/>
      <w:bCs/>
      <w:i w:val="0"/>
      <w:iCs/>
      <w:caps/>
      <w:color w:val="48655B" w:themeColor="accent3"/>
      <w:spacing w:val="4"/>
      <w:szCs w:val="20"/>
      <w:lang w:eastAsia="nl-NL"/>
    </w:rPr>
  </w:style>
  <w:style w:type="table" w:styleId="Tabelraster">
    <w:name w:val="Table Grid"/>
    <w:basedOn w:val="Standaardtabel"/>
    <w:uiPriority w:val="39"/>
    <w:rsid w:val="0089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onderwerpChar">
    <w:name w:val="tabel onderwerp Char"/>
    <w:basedOn w:val="Kop5Char"/>
    <w:link w:val="tabelonderwerp"/>
    <w:rsid w:val="00492D7F"/>
    <w:rPr>
      <w:rFonts w:ascii="Calibri" w:eastAsia="Cambria" w:hAnsi="Calibri" w:cs="Times New Roman"/>
      <w:color w:val="236FAE" w:themeColor="accent1" w:themeShade="BF"/>
      <w:sz w:val="21"/>
      <w:szCs w:val="21"/>
      <w:lang w:eastAsia="en-GB"/>
    </w:rPr>
  </w:style>
  <w:style w:type="paragraph" w:customStyle="1" w:styleId="tussenkop">
    <w:name w:val="tussenkop"/>
    <w:basedOn w:val="Standaard"/>
    <w:link w:val="tussenkopChar"/>
    <w:autoRedefine/>
    <w:qFormat/>
    <w:rsid w:val="00BA64F9"/>
    <w:rPr>
      <w:b/>
      <w:sz w:val="26"/>
      <w:szCs w:val="26"/>
    </w:rPr>
  </w:style>
  <w:style w:type="character" w:customStyle="1" w:styleId="tussenkopChar">
    <w:name w:val="tussenkop Char"/>
    <w:basedOn w:val="Standaardalinea-lettertype"/>
    <w:link w:val="tussenkop"/>
    <w:rsid w:val="00BA64F9"/>
    <w:rPr>
      <w:b/>
      <w:color w:val="000000" w:themeColor="text1"/>
      <w:sz w:val="26"/>
      <w:szCs w:val="26"/>
    </w:rPr>
  </w:style>
  <w:style w:type="paragraph" w:customStyle="1" w:styleId="BodyText1">
    <w:name w:val="Body Text 1"/>
    <w:basedOn w:val="Standaard"/>
    <w:rsid w:val="00492D7F"/>
    <w:pPr>
      <w:adjustRightInd w:val="0"/>
      <w:spacing w:after="240" w:line="240" w:lineRule="auto"/>
      <w:ind w:left="720"/>
      <w:jc w:val="both"/>
    </w:pPr>
    <w:rPr>
      <w:rFonts w:ascii="Times New Roman" w:eastAsia="SimSun" w:hAnsi="Times New Roman" w:cs="Times New Roman"/>
      <w:color w:val="auto"/>
      <w:sz w:val="24"/>
      <w:lang w:eastAsia="en-GB"/>
    </w:rPr>
  </w:style>
  <w:style w:type="paragraph" w:customStyle="1" w:styleId="General1L9">
    <w:name w:val="General 1 L9"/>
    <w:basedOn w:val="Standaard"/>
    <w:uiPriority w:val="99"/>
    <w:semiHidden/>
    <w:rsid w:val="00492D7F"/>
    <w:pPr>
      <w:numPr>
        <w:ilvl w:val="8"/>
        <w:numId w:val="18"/>
      </w:numPr>
      <w:adjustRightInd w:val="0"/>
      <w:spacing w:after="240" w:line="240" w:lineRule="auto"/>
      <w:jc w:val="both"/>
      <w:outlineLvl w:val="8"/>
    </w:pPr>
    <w:rPr>
      <w:rFonts w:ascii="Times New Roman" w:eastAsia="SimSun" w:hAnsi="Times New Roman" w:cs="Times New Roman"/>
      <w:color w:val="auto"/>
      <w:sz w:val="24"/>
      <w:lang w:eastAsia="en-GB"/>
    </w:rPr>
  </w:style>
  <w:style w:type="paragraph" w:customStyle="1" w:styleId="General1L8">
    <w:name w:val="General 1 L8"/>
    <w:basedOn w:val="Standaard"/>
    <w:uiPriority w:val="99"/>
    <w:semiHidden/>
    <w:rsid w:val="00492D7F"/>
    <w:pPr>
      <w:numPr>
        <w:ilvl w:val="7"/>
        <w:numId w:val="18"/>
      </w:numPr>
      <w:adjustRightInd w:val="0"/>
      <w:spacing w:after="240" w:line="240" w:lineRule="auto"/>
      <w:jc w:val="both"/>
      <w:outlineLvl w:val="7"/>
    </w:pPr>
    <w:rPr>
      <w:rFonts w:ascii="Times New Roman" w:eastAsia="SimSun" w:hAnsi="Times New Roman" w:cs="Times New Roman"/>
      <w:color w:val="auto"/>
      <w:sz w:val="24"/>
      <w:lang w:eastAsia="en-GB"/>
    </w:rPr>
  </w:style>
  <w:style w:type="paragraph" w:customStyle="1" w:styleId="General1L7">
    <w:name w:val="General 1 L7"/>
    <w:basedOn w:val="Standaard"/>
    <w:uiPriority w:val="99"/>
    <w:semiHidden/>
    <w:rsid w:val="00492D7F"/>
    <w:pPr>
      <w:numPr>
        <w:ilvl w:val="6"/>
        <w:numId w:val="18"/>
      </w:numPr>
      <w:adjustRightInd w:val="0"/>
      <w:spacing w:after="240" w:line="240" w:lineRule="auto"/>
      <w:jc w:val="both"/>
      <w:outlineLvl w:val="6"/>
    </w:pPr>
    <w:rPr>
      <w:rFonts w:ascii="Times New Roman" w:eastAsia="SimSun" w:hAnsi="Times New Roman" w:cs="Times New Roman"/>
      <w:color w:val="auto"/>
      <w:sz w:val="24"/>
      <w:lang w:eastAsia="en-GB"/>
    </w:rPr>
  </w:style>
  <w:style w:type="paragraph" w:customStyle="1" w:styleId="General1L6">
    <w:name w:val="General 1 L6"/>
    <w:basedOn w:val="Standaard"/>
    <w:next w:val="Standaard"/>
    <w:qFormat/>
    <w:rsid w:val="00492D7F"/>
    <w:pPr>
      <w:numPr>
        <w:ilvl w:val="5"/>
        <w:numId w:val="18"/>
      </w:numPr>
      <w:adjustRightInd w:val="0"/>
      <w:spacing w:after="240" w:line="240" w:lineRule="auto"/>
      <w:jc w:val="both"/>
      <w:outlineLvl w:val="5"/>
    </w:pPr>
    <w:rPr>
      <w:rFonts w:ascii="Times New Roman" w:eastAsia="SimSun" w:hAnsi="Times New Roman" w:cs="Times New Roman"/>
      <w:color w:val="auto"/>
      <w:sz w:val="24"/>
      <w:lang w:eastAsia="en-GB"/>
    </w:rPr>
  </w:style>
  <w:style w:type="paragraph" w:customStyle="1" w:styleId="General1L5">
    <w:name w:val="General 1 L5"/>
    <w:basedOn w:val="Standaard"/>
    <w:next w:val="Standaard"/>
    <w:qFormat/>
    <w:rsid w:val="00492D7F"/>
    <w:pPr>
      <w:numPr>
        <w:ilvl w:val="4"/>
        <w:numId w:val="18"/>
      </w:numPr>
      <w:adjustRightInd w:val="0"/>
      <w:spacing w:after="240" w:line="240" w:lineRule="auto"/>
      <w:jc w:val="both"/>
      <w:outlineLvl w:val="4"/>
    </w:pPr>
    <w:rPr>
      <w:rFonts w:ascii="Times New Roman" w:eastAsia="SimSun" w:hAnsi="Times New Roman" w:cs="Times New Roman"/>
      <w:color w:val="auto"/>
      <w:sz w:val="24"/>
      <w:lang w:eastAsia="en-GB"/>
    </w:rPr>
  </w:style>
  <w:style w:type="paragraph" w:customStyle="1" w:styleId="General1L4">
    <w:name w:val="General 1 L4"/>
    <w:basedOn w:val="Standaard"/>
    <w:next w:val="Plattetekst3"/>
    <w:qFormat/>
    <w:rsid w:val="00492D7F"/>
    <w:pPr>
      <w:numPr>
        <w:ilvl w:val="3"/>
        <w:numId w:val="18"/>
      </w:numPr>
      <w:adjustRightInd w:val="0"/>
      <w:spacing w:after="240" w:line="240" w:lineRule="auto"/>
      <w:jc w:val="both"/>
      <w:outlineLvl w:val="3"/>
    </w:pPr>
    <w:rPr>
      <w:rFonts w:ascii="Times New Roman" w:eastAsia="SimSun" w:hAnsi="Times New Roman" w:cs="Times New Roman"/>
      <w:color w:val="auto"/>
      <w:sz w:val="24"/>
      <w:lang w:eastAsia="en-GB"/>
    </w:rPr>
  </w:style>
  <w:style w:type="paragraph" w:customStyle="1" w:styleId="General1L3">
    <w:name w:val="General 1 L3"/>
    <w:basedOn w:val="Standaard"/>
    <w:next w:val="Plattetekst2"/>
    <w:qFormat/>
    <w:rsid w:val="00492D7F"/>
    <w:pPr>
      <w:numPr>
        <w:ilvl w:val="2"/>
        <w:numId w:val="18"/>
      </w:numPr>
      <w:tabs>
        <w:tab w:val="left" w:pos="720"/>
      </w:tabs>
      <w:adjustRightInd w:val="0"/>
      <w:spacing w:after="240" w:line="240" w:lineRule="auto"/>
      <w:jc w:val="both"/>
      <w:outlineLvl w:val="2"/>
    </w:pPr>
    <w:rPr>
      <w:rFonts w:ascii="Times New Roman" w:eastAsia="SimSun" w:hAnsi="Times New Roman" w:cs="Times New Roman"/>
      <w:color w:val="auto"/>
      <w:sz w:val="24"/>
      <w:lang w:eastAsia="en-GB"/>
    </w:rPr>
  </w:style>
  <w:style w:type="paragraph" w:customStyle="1" w:styleId="General1L2">
    <w:name w:val="General 1 L2"/>
    <w:basedOn w:val="Standaard"/>
    <w:next w:val="BodyText1"/>
    <w:qFormat/>
    <w:rsid w:val="00492D7F"/>
    <w:pPr>
      <w:numPr>
        <w:ilvl w:val="1"/>
        <w:numId w:val="18"/>
      </w:numPr>
      <w:adjustRightInd w:val="0"/>
      <w:spacing w:after="240" w:line="240" w:lineRule="auto"/>
      <w:jc w:val="both"/>
      <w:outlineLvl w:val="1"/>
    </w:pPr>
    <w:rPr>
      <w:rFonts w:ascii="Times New Roman" w:eastAsia="SimSun" w:hAnsi="Times New Roman" w:cs="Times New Roman"/>
      <w:color w:val="auto"/>
      <w:sz w:val="24"/>
      <w:lang w:eastAsia="en-GB"/>
    </w:rPr>
  </w:style>
  <w:style w:type="paragraph" w:customStyle="1" w:styleId="General1L1">
    <w:name w:val="General 1 L1"/>
    <w:basedOn w:val="Standaard"/>
    <w:next w:val="BodyText1"/>
    <w:qFormat/>
    <w:rsid w:val="00492D7F"/>
    <w:pPr>
      <w:numPr>
        <w:numId w:val="18"/>
      </w:numPr>
      <w:adjustRightInd w:val="0"/>
      <w:spacing w:after="240" w:line="240" w:lineRule="auto"/>
      <w:jc w:val="both"/>
      <w:outlineLvl w:val="0"/>
    </w:pPr>
    <w:rPr>
      <w:rFonts w:ascii="Times New Roman" w:eastAsia="SimSun" w:hAnsi="Times New Roman" w:cs="Times New Roman"/>
      <w:color w:val="auto"/>
      <w:sz w:val="24"/>
      <w:lang w:eastAsia="en-GB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92D7F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92D7F"/>
    <w:rPr>
      <w:color w:val="000000" w:themeColor="text1"/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92D7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92D7F"/>
    <w:rPr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HES International">
      <a:dk1>
        <a:srgbClr val="000000"/>
      </a:dk1>
      <a:lt1>
        <a:sysClr val="window" lastClr="FFFFFF"/>
      </a:lt1>
      <a:dk2>
        <a:srgbClr val="006A9B"/>
      </a:dk2>
      <a:lt2>
        <a:srgbClr val="9DB4AB"/>
      </a:lt2>
      <a:accent1>
        <a:srgbClr val="4094D8"/>
      </a:accent1>
      <a:accent2>
        <a:srgbClr val="719E8B"/>
      </a:accent2>
      <a:accent3>
        <a:srgbClr val="48655B"/>
      </a:accent3>
      <a:accent4>
        <a:srgbClr val="EE2748"/>
      </a:accent4>
      <a:accent5>
        <a:srgbClr val="1D5980"/>
      </a:accent5>
      <a:accent6>
        <a:srgbClr val="B0B2B4"/>
      </a:accent6>
      <a:hlink>
        <a:srgbClr val="006A9B"/>
      </a:hlink>
      <a:folHlink>
        <a:srgbClr val="1D5980"/>
      </a:folHlink>
    </a:clrScheme>
    <a:fontScheme name="HES Internation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DCB4B-BE33-45D3-A004-A32C0A04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2490</Words>
  <Characters>13700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Erkelens</dc:creator>
  <cp:keywords/>
  <dc:description/>
  <cp:lastModifiedBy>Judith Buschman - Mettaal</cp:lastModifiedBy>
  <cp:revision>2</cp:revision>
  <cp:lastPrinted>2021-11-22T16:06:00Z</cp:lastPrinted>
  <dcterms:created xsi:type="dcterms:W3CDTF">2022-02-07T15:18:00Z</dcterms:created>
  <dcterms:modified xsi:type="dcterms:W3CDTF">2022-02-07T15:18:00Z</dcterms:modified>
</cp:coreProperties>
</file>